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5233FD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3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31"/>
        <w:gridCol w:w="312"/>
        <w:gridCol w:w="1417"/>
        <w:gridCol w:w="3402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5233FD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Arreo de animales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F9619A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7E6EDB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</w:t>
            </w:r>
            <w:r w:rsid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3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5F53D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Actividad evaluada de manera sumativa con </w:t>
            </w:r>
            <w:r w:rsid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lista de cotejo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5F53DB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4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7</w:t>
            </w:r>
          </w:p>
          <w:p w:rsidR="000A09C4" w:rsidRPr="00B706BD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5F53DB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5F53D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B706BD" w:rsidRPr="007A5E77" w:rsidRDefault="005233FD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233FD" w:rsidRPr="005233F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INF3 Identifica y analiza información para fundamentar y responder a las necesidades propias de sus actividades.</w:t>
            </w:r>
          </w:p>
          <w:p w:rsidR="005233FD" w:rsidRPr="005233F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UDR3 Selecciona y utiliza materiales, herramientas y equipamiento para responder a una necesidad propia de una actividad o función especializada en contextos conocidos.</w:t>
            </w:r>
          </w:p>
          <w:p w:rsidR="005233FD" w:rsidRPr="005233F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COM3 Comunica y recibe información relacionada a su actividad o función, a través de medios y soportes adecuados en contextos conocidos.</w:t>
            </w:r>
          </w:p>
          <w:p w:rsidR="005233FD" w:rsidRPr="005233F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TCO3 Trabaja colaborativamente en actividades y funciones coordinándose con otros en diversos contextos.</w:t>
            </w:r>
          </w:p>
          <w:p w:rsidR="005233FD" w:rsidRPr="005233F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EYR3 Actúa acorde al marco de sus conocimientos, experiencia y alcance de sus actividades y funciones.</w:t>
            </w:r>
          </w:p>
          <w:p w:rsidR="009A09AA" w:rsidRPr="00B706BD" w:rsidRDefault="005233FD" w:rsidP="005233F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sz w:val="22"/>
                <w:szCs w:val="22"/>
                <w:lang w:val="es-CL"/>
              </w:rPr>
              <w:t>EYR3 Responde por el cumplimiento de los procedimientos y resultados de sus actividades.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5F53D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7452C1" w:rsidRDefault="005233FD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lang w:val="es-CL" w:eastAsia="es-CL"/>
              </w:rPr>
              <w:t xml:space="preserve">Controla el peso de animales según el plan de producción y de prevención de riesgos, de </w:t>
            </w:r>
            <w:r w:rsidRPr="002743D9">
              <w:rPr>
                <w:rFonts w:ascii="gobCL" w:eastAsia="Times New Roman" w:hAnsi="gobCL" w:cs="Arial"/>
                <w:lang w:val="es-CL" w:eastAsia="es-CL"/>
              </w:rPr>
              <w:lastRenderedPageBreak/>
              <w:t>acuerdo a legislación de bienestar animal vigente.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9619A" w:rsidRPr="005233FD" w:rsidRDefault="005233FD" w:rsidP="00F9619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233FD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lastRenderedPageBreak/>
              <w:t xml:space="preserve">2.1 Utiliza técnicas de arreo y sujeción animal dadas las distintas especies, peso, sexo y edad, </w:t>
            </w:r>
            <w:r w:rsidRPr="005233FD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lastRenderedPageBreak/>
              <w:t>resguardando el cumplimiento de las normativas de bienestar animal, higiene y seguridad vigentes.</w:t>
            </w:r>
          </w:p>
        </w:tc>
      </w:tr>
      <w:tr w:rsidR="005F53DB" w:rsidRPr="005F53DB" w:rsidTr="005F53DB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lastRenderedPageBreak/>
              <w:t>Habilidades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5F53DB" w:rsidRPr="005F53DB" w:rsidTr="005F53DB">
        <w:tc>
          <w:tcPr>
            <w:tcW w:w="3119" w:type="dxa"/>
            <w:shd w:val="clear" w:color="auto" w:fill="auto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Arrear y sujetar</w:t>
            </w:r>
            <w:r w:rsidRPr="00625A4C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animales para manejo productivo</w:t>
            </w:r>
            <w:r w:rsidRPr="00625A4C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 xml:space="preserve"> según normativas vigentes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sz w:val="22"/>
                <w:szCs w:val="22"/>
                <w:lang w:val="es-CL"/>
              </w:rPr>
              <w:t>Técnicas de arreo, técnicas de sujeción, normativa legal vige</w:t>
            </w:r>
            <w:bookmarkStart w:id="0" w:name="_GoBack"/>
            <w:bookmarkEnd w:id="0"/>
            <w:r w:rsidRPr="00625A4C">
              <w:rPr>
                <w:rFonts w:ascii="gobCL" w:eastAsia="Calibri" w:hAnsi="gobCL" w:cs="Arial"/>
                <w:sz w:val="22"/>
                <w:szCs w:val="22"/>
                <w:lang w:val="es-CL"/>
              </w:rPr>
              <w:t>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53DB" w:rsidRPr="00625A4C" w:rsidRDefault="005F53DB" w:rsidP="005F53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Realizar tareas de arreo y sujeción de manera prolija y cumpliendo con la normativa legal vigente</w:t>
            </w:r>
          </w:p>
        </w:tc>
      </w:tr>
      <w:tr w:rsidR="005F53DB" w:rsidRPr="005F53DB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5F53DB" w:rsidRPr="007A5E77" w:rsidRDefault="005F53DB" w:rsidP="005F53DB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F53DB" w:rsidRPr="00C15EC7" w:rsidRDefault="005F53DB" w:rsidP="005F53D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Demostración guiada, investigación y 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5233FD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5F53DB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233FD" w:rsidRPr="005233FD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Debes revisar todos los implementos de seguridad personal, estos deben estar en buenas condiciones.</w:t>
            </w:r>
          </w:p>
          <w:p w:rsidR="005233FD" w:rsidRPr="005233FD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5233FD" w:rsidRPr="005233FD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Debes dar aviso inmediato a tu docente en caso de lesión o si crees haber estado expuesto a algún animal enfermo.</w:t>
            </w:r>
          </w:p>
          <w:p w:rsidR="005233FD" w:rsidRPr="005233FD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Lavarse las manos de manera frecuente.</w:t>
            </w:r>
          </w:p>
          <w:p w:rsidR="005233FD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Los elementos corto punzantes que se puedan utilizar en el práctico, los debes guardar de manera correcta en el lugar destinado para ello. Además, deben ser eliminados de manera adecuada.</w:t>
            </w:r>
          </w:p>
          <w:p w:rsidR="00825067" w:rsidRPr="009A09AA" w:rsidRDefault="005233FD" w:rsidP="005233FD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Nunca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233FD" w:rsidRPr="005F53DB" w:rsidRDefault="005233FD">
      <w:pPr>
        <w:rPr>
          <w:lang w:val="es-CL"/>
        </w:rPr>
      </w:pPr>
      <w:r w:rsidRPr="005F53DB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5F53DB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lastRenderedPageBreak/>
              <w:br w:type="page"/>
            </w:r>
            <w:r w:rsid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B706BD" w:rsidRDefault="00D65419" w:rsidP="005233FD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5233F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Arreo de animales 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(</w:t>
            </w:r>
            <w:r w:rsidR="005233F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13</w:t>
            </w:r>
            <w:r w:rsidR="0032488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5F53DB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5233FD" w:rsidP="005233FD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5233FD">
              <w:rPr>
                <w:rFonts w:ascii="gobCL" w:hAnsi="gobCL" w:cs="Arial"/>
              </w:rPr>
              <w:t>Idealmente la actividad práctica debería realizarse en un plantel que cuente con bovinos y ovinos, ya que estas dos especies tienen formas de arreo diferentes. Además, la infraestructura para trabajar con ellos, son distintas y es importante que los estudiantes puedan conocer las dos.</w:t>
            </w:r>
            <w:r>
              <w:rPr>
                <w:rFonts w:ascii="gobCL" w:hAnsi="gobCL" w:cs="Arial"/>
              </w:rPr>
              <w:t xml:space="preserve"> Por lo anterior, se tendrá que gestionar desde establecimiento educativo que las dependencias en las que se realice la actividad práctica cumpla con las características antes señaladas.</w:t>
            </w:r>
          </w:p>
        </w:tc>
      </w:tr>
      <w:tr w:rsidR="00854BDE" w:rsidRPr="005F53DB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233FD" w:rsidRPr="002743D9" w:rsidRDefault="005233FD" w:rsidP="005233FD">
            <w:pPr>
              <w:numPr>
                <w:ilvl w:val="0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El docente debe comenzar la actividad práctica haciendo un repaso de los contenidos vistos en clases sobre arreo y técnicas de sujeción animal.</w:t>
            </w:r>
            <w:r>
              <w:rPr>
                <w:rFonts w:ascii="gobCL" w:eastAsia="Arial" w:hAnsi="gobCL" w:cs="Arial"/>
                <w:lang w:val="es-CL"/>
              </w:rPr>
              <w:t xml:space="preserve"> Se sugiere utilizar los siguientes archivos:</w:t>
            </w:r>
          </w:p>
          <w:p w:rsidR="005233FD" w:rsidRPr="002743D9" w:rsidRDefault="005233FD" w:rsidP="005233FD">
            <w:pPr>
              <w:numPr>
                <w:ilvl w:val="1"/>
                <w:numId w:val="23"/>
              </w:numP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PDA03_02_Anexo_NUDOS SUJECIÓN Y DERRIBAMIENTO DE BOVINOS.docx</w:t>
            </w:r>
          </w:p>
          <w:p w:rsidR="005233FD" w:rsidRPr="002743D9" w:rsidRDefault="005233FD" w:rsidP="005233FD">
            <w:pPr>
              <w:numPr>
                <w:ilvl w:val="1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hAnsi="gobCL"/>
                <w:lang w:val="es-CL"/>
              </w:rPr>
              <w:t xml:space="preserve">PDA03_03_Anexo_Video_Nudos </w:t>
            </w:r>
            <w:proofErr w:type="spellStart"/>
            <w:r w:rsidRPr="002743D9">
              <w:rPr>
                <w:rFonts w:ascii="gobCL" w:hAnsi="gobCL"/>
                <w:lang w:val="es-CL"/>
              </w:rPr>
              <w:t>utlizados</w:t>
            </w:r>
            <w:proofErr w:type="spellEnd"/>
            <w:r w:rsidRPr="002743D9">
              <w:rPr>
                <w:rFonts w:ascii="gobCL" w:hAnsi="gobCL"/>
                <w:lang w:val="es-CL"/>
              </w:rPr>
              <w:t xml:space="preserve"> en </w:t>
            </w:r>
            <w:proofErr w:type="spellStart"/>
            <w:r w:rsidRPr="002743D9">
              <w:rPr>
                <w:rFonts w:ascii="gobCL" w:hAnsi="gobCL"/>
                <w:lang w:val="es-CL"/>
              </w:rPr>
              <w:t>ganadería</w:t>
            </w:r>
            <w:proofErr w:type="spellEnd"/>
            <w:r w:rsidRPr="002743D9">
              <w:rPr>
                <w:rFonts w:ascii="gobCL" w:hAnsi="gobCL"/>
                <w:lang w:val="es-CL"/>
              </w:rPr>
              <w:t xml:space="preserve"> y equinos - </w:t>
            </w:r>
            <w:proofErr w:type="spellStart"/>
            <w:r w:rsidRPr="002743D9">
              <w:rPr>
                <w:rFonts w:ascii="gobCL" w:hAnsi="gobCL"/>
                <w:lang w:val="es-CL"/>
              </w:rPr>
              <w:t>TvAgro</w:t>
            </w:r>
            <w:proofErr w:type="spellEnd"/>
            <w:r w:rsidRPr="002743D9">
              <w:rPr>
                <w:rFonts w:ascii="gobCL" w:hAnsi="gobCL"/>
                <w:lang w:val="es-CL"/>
              </w:rPr>
              <w:t xml:space="preserve"> por Juan Gonzalo </w:t>
            </w:r>
            <w:proofErr w:type="spellStart"/>
            <w:r w:rsidRPr="002743D9">
              <w:rPr>
                <w:rFonts w:ascii="gobCL" w:hAnsi="gobCL"/>
                <w:lang w:val="es-CL"/>
              </w:rPr>
              <w:t>Angel</w:t>
            </w:r>
            <w:proofErr w:type="spellEnd"/>
          </w:p>
          <w:p w:rsidR="005233FD" w:rsidRPr="002743D9" w:rsidRDefault="005233FD" w:rsidP="005233FD">
            <w:pPr>
              <w:ind w:left="1440"/>
              <w:rPr>
                <w:rFonts w:ascii="gobCL" w:eastAsia="Arial" w:hAnsi="gobCL" w:cs="Arial"/>
                <w:lang w:val="es-CL"/>
              </w:rPr>
            </w:pPr>
          </w:p>
          <w:p w:rsidR="005233FD" w:rsidRPr="002743D9" w:rsidRDefault="005233FD" w:rsidP="005233FD">
            <w:pPr>
              <w:numPr>
                <w:ilvl w:val="0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Posteriormente, mostrará a los estudiantes los materiales que se utilizarán en la actividad práctica: lazo, mangas y corrales de manejos. Explicará la función de cada uno de ellos y las medidas de seguridad que se deben emplear en su uso.</w:t>
            </w:r>
          </w:p>
          <w:p w:rsidR="005233FD" w:rsidRPr="002743D9" w:rsidRDefault="005233FD" w:rsidP="005233FD">
            <w:pPr>
              <w:numPr>
                <w:ilvl w:val="0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Dividirá al curso en 9 grupos de 5 integrantes, de esta forma se facilita la guía y la supervisión de las actividades.</w:t>
            </w:r>
          </w:p>
          <w:p w:rsidR="005233FD" w:rsidRPr="002743D9" w:rsidRDefault="005233FD" w:rsidP="005233FD">
            <w:pPr>
              <w:numPr>
                <w:ilvl w:val="0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Cada grupo debe arrear un lote de animales, hacerlos pasar por la manga de procedimientos, dejarlos en el corral de manejo y cada estudiante tendrá que aplicar técnicas de sujeción para inmovilizar a un animal.</w:t>
            </w:r>
          </w:p>
          <w:p w:rsidR="00014BCE" w:rsidRPr="005233FD" w:rsidRDefault="005233FD" w:rsidP="005233FD">
            <w:pPr>
              <w:numPr>
                <w:ilvl w:val="0"/>
                <w:numId w:val="23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El docente debe informar a los estudiantes que deben registrar todas las actividades realizadas en su cuaderno de registros, ya que una vez terminado el práctico, será revisado.</w:t>
            </w:r>
          </w:p>
        </w:tc>
      </w:tr>
      <w:tr w:rsidR="00854BDE" w:rsidRPr="005F53DB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233FD" w:rsidRPr="002743D9" w:rsidRDefault="005233FD" w:rsidP="005233FD">
            <w:pPr>
              <w:numPr>
                <w:ilvl w:val="0"/>
                <w:numId w:val="22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Poner atención al repaso realizado por el docente.</w:t>
            </w:r>
          </w:p>
          <w:p w:rsidR="005233FD" w:rsidRPr="002743D9" w:rsidRDefault="005233FD" w:rsidP="005233FD">
            <w:pPr>
              <w:numPr>
                <w:ilvl w:val="0"/>
                <w:numId w:val="22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Formar los grupos de trabajo asignados por el docente.</w:t>
            </w:r>
          </w:p>
          <w:p w:rsidR="005233FD" w:rsidRPr="002743D9" w:rsidRDefault="005233FD" w:rsidP="005233FD">
            <w:pPr>
              <w:numPr>
                <w:ilvl w:val="0"/>
                <w:numId w:val="22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Revisar los materiales que utilizarán en la actividad.</w:t>
            </w:r>
          </w:p>
          <w:p w:rsidR="005233FD" w:rsidRPr="002743D9" w:rsidRDefault="005233FD" w:rsidP="005233FD">
            <w:pPr>
              <w:numPr>
                <w:ilvl w:val="0"/>
                <w:numId w:val="22"/>
              </w:numPr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 xml:space="preserve">Equiparse con los materiales de seguridad: overol, guantes de procedimientos. Los guantes de cabritilla y el lazo, los usarán en el corral de manejos, cuando tengan que aplicar técnicas de sujeción.  </w:t>
            </w:r>
          </w:p>
          <w:p w:rsidR="00854BDE" w:rsidRPr="00211564" w:rsidRDefault="005233FD" w:rsidP="005233F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lastRenderedPageBreak/>
              <w:t>Deben anotar todas las actividades realizadas en su cuaderno de registro y al terminar el práctico, entregarlo a su docente para que lo revise.</w:t>
            </w:r>
          </w:p>
        </w:tc>
      </w:tr>
      <w:tr w:rsidR="00854BDE" w:rsidRPr="005F53DB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lastRenderedPageBreak/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401314" w:rsidRDefault="005233FD" w:rsidP="0032488C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>
              <w:rPr>
                <w:rFonts w:ascii="gobCL" w:hAnsi="gobCL" w:cs="Arial"/>
                <w:lang w:val="es-CL"/>
              </w:rPr>
              <w:t>En plenario retroalimentará las labores desarrolladas por estudiantes, subrayando las buenas prácticas desarrolladas en el arreo e invitando con preguntas a la reflexión respecto a la relevancia del correcto arreo de especies, además de indagar en posibles preguntas, hallazgos o dudas que tengan estudiantes respecto a la actividad desarrollada.</w:t>
            </w:r>
          </w:p>
        </w:tc>
      </w:tr>
      <w:tr w:rsidR="00854BDE" w:rsidRPr="005F53DB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5233FD" w:rsidP="005233FD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>
              <w:rPr>
                <w:rFonts w:ascii="gobCL" w:hAnsi="gobCL" w:cs="Arial"/>
              </w:rPr>
              <w:t>Participar activamente en plenario, registrando las buenas prácticas de arreo destacadas por docente y respondiendo a preguntas respecto a la relevancia del correcto arreo de especies, además de realizar preguntas, compartir hallazgos o dudas que tengan respecto a la actividad desarrollada.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5233F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 xml:space="preserve">Corrales de </w:t>
            </w:r>
            <w:proofErr w:type="spellStart"/>
            <w:r w:rsidRPr="002743D9">
              <w:rPr>
                <w:rFonts w:ascii="gobCL" w:eastAsia="Arial" w:hAnsi="gobCL" w:cs="Arial"/>
              </w:rPr>
              <w:t>manejos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5233FD" w:rsidRPr="005F53DB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Manga (</w:t>
            </w:r>
            <w:proofErr w:type="spellStart"/>
            <w:r w:rsidRPr="002743D9">
              <w:rPr>
                <w:rFonts w:ascii="gobCL" w:eastAsia="Arial" w:hAnsi="gobCL" w:cs="Arial"/>
              </w:rPr>
              <w:t>bovinos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, </w:t>
            </w:r>
            <w:proofErr w:type="spellStart"/>
            <w:r w:rsidRPr="002743D9">
              <w:rPr>
                <w:rFonts w:ascii="gobCL" w:eastAsia="Arial" w:hAnsi="gobCL" w:cs="Arial"/>
              </w:rPr>
              <w:t>ovinos</w:t>
            </w:r>
            <w:proofErr w:type="spellEnd"/>
            <w:r w:rsidRPr="002743D9">
              <w:rPr>
                <w:rFonts w:ascii="gobCL" w:eastAsia="Arial" w:hAnsi="gobCL" w:cs="Arial"/>
              </w:rPr>
              <w:t>)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2743D9">
              <w:rPr>
                <w:rFonts w:ascii="gobCL" w:eastAsia="Arial" w:hAnsi="gobCL" w:cs="Arial"/>
                <w:lang w:val="es-CL"/>
              </w:rPr>
              <w:t>Una para ovinos y otra para bovinos</w:t>
            </w:r>
          </w:p>
        </w:tc>
      </w:tr>
      <w:tr w:rsidR="005233F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2743D9">
              <w:rPr>
                <w:rFonts w:ascii="gobCL" w:eastAsia="Arial" w:hAnsi="gobCL" w:cs="Arial"/>
              </w:rPr>
              <w:t>Botiquín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2743D9">
              <w:rPr>
                <w:rFonts w:ascii="gobCL" w:eastAsia="Arial" w:hAnsi="gobCL" w:cs="Arial"/>
              </w:rPr>
              <w:t>primeros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2743D9">
              <w:rPr>
                <w:rFonts w:ascii="gobCL" w:eastAsia="Arial" w:hAnsi="gobCL" w:cs="Arial"/>
              </w:rPr>
              <w:t>auxilios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bookmarkStart w:id="1" w:name="_heading=h.gjdgxs" w:colFirst="0" w:colLast="0"/>
            <w:bookmarkEnd w:id="1"/>
            <w:r w:rsidRPr="002743D9">
              <w:rPr>
                <w:rFonts w:ascii="gobCL" w:eastAsia="Arial" w:hAnsi="gobC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5233F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233FD" w:rsidRPr="00B706BD" w:rsidRDefault="005233FD" w:rsidP="005233F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233FD" w:rsidRPr="00B706BD" w:rsidRDefault="005233FD" w:rsidP="005233F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5233F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2743D9">
              <w:rPr>
                <w:rFonts w:ascii="gobCL" w:eastAsia="Arial" w:hAnsi="gobCL" w:cs="Arial"/>
              </w:rPr>
              <w:t>Overol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45</w:t>
            </w:r>
          </w:p>
        </w:tc>
      </w:tr>
      <w:tr w:rsidR="005233F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2743D9">
              <w:rPr>
                <w:rFonts w:ascii="gobCL" w:eastAsia="Arial" w:hAnsi="gobCL" w:cs="Arial"/>
              </w:rPr>
              <w:t>Guantes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2743D9">
              <w:rPr>
                <w:rFonts w:ascii="gobCL" w:eastAsia="Arial" w:hAnsi="gobCL" w:cs="Arial"/>
              </w:rPr>
              <w:t>procedimientos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90</w:t>
            </w:r>
          </w:p>
        </w:tc>
      </w:tr>
      <w:tr w:rsidR="005233F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2743D9">
              <w:rPr>
                <w:rFonts w:ascii="gobCL" w:eastAsia="Arial" w:hAnsi="gobCL" w:cs="Arial"/>
              </w:rPr>
              <w:t>Guantes</w:t>
            </w:r>
            <w:proofErr w:type="spellEnd"/>
            <w:r w:rsidRPr="002743D9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2743D9">
              <w:rPr>
                <w:rFonts w:ascii="gobCL" w:eastAsia="Arial" w:hAnsi="gobCL" w:cs="Arial"/>
              </w:rPr>
              <w:t>cabritilla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45</w:t>
            </w:r>
          </w:p>
        </w:tc>
      </w:tr>
      <w:tr w:rsidR="005233F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2743D9">
              <w:rPr>
                <w:rFonts w:ascii="gobCL" w:eastAsia="Arial" w:hAnsi="gobCL" w:cs="Arial"/>
              </w:rPr>
              <w:t>Lazo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5233FD" w:rsidRPr="002743D9" w:rsidRDefault="005233FD" w:rsidP="005233FD">
            <w:pPr>
              <w:jc w:val="center"/>
              <w:rPr>
                <w:rFonts w:ascii="gobCL" w:eastAsia="Arial" w:hAnsi="gobCL" w:cs="Arial"/>
              </w:rPr>
            </w:pPr>
            <w:r w:rsidRPr="002743D9">
              <w:rPr>
                <w:rFonts w:ascii="gobCL" w:eastAsia="Arial" w:hAnsi="gobCL" w:cs="Arial"/>
              </w:rPr>
              <w:t>9</w:t>
            </w:r>
          </w:p>
        </w:tc>
      </w:tr>
    </w:tbl>
    <w:p w:rsidR="00DF7C45" w:rsidRDefault="00DF7C45"/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11564" w:rsidRDefault="0021156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9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433"/>
        <w:gridCol w:w="4046"/>
        <w:gridCol w:w="2317"/>
        <w:gridCol w:w="1013"/>
      </w:tblGrid>
      <w:tr w:rsidR="005233FD" w:rsidRPr="005F53DB" w:rsidTr="005233FD">
        <w:trPr>
          <w:trHeight w:val="293"/>
          <w:jc w:val="center"/>
        </w:trPr>
        <w:tc>
          <w:tcPr>
            <w:tcW w:w="13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val="es-CL" w:eastAsia="es-CL"/>
              </w:rPr>
            </w:pPr>
            <w:r w:rsidRPr="002743D9">
              <w:rPr>
                <w:rFonts w:ascii="gobCL" w:eastAsia="Times New Roman" w:hAnsi="gobCL" w:cs="Calibri"/>
                <w:b/>
                <w:lang w:val="es-CL" w:eastAsia="es-CL"/>
              </w:rPr>
              <w:t>Nombre de la Actividad</w:t>
            </w:r>
            <w:r w:rsidRPr="002743D9">
              <w:rPr>
                <w:rFonts w:ascii="gobCL" w:eastAsia="Times New Roman" w:hAnsi="gobCL" w:cs="Arial"/>
                <w:b/>
                <w:lang w:val="es-CL" w:eastAsia="es-CL"/>
              </w:rPr>
              <w:t xml:space="preserve">: Plan Común | Alimentación y pesaje pecuario | Arreo de animales </w:t>
            </w:r>
          </w:p>
        </w:tc>
      </w:tr>
      <w:tr w:rsidR="005233FD" w:rsidRPr="002743D9" w:rsidTr="005233FD">
        <w:trPr>
          <w:trHeight w:val="293"/>
          <w:jc w:val="center"/>
        </w:trPr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Calibri"/>
                <w:b/>
                <w:lang w:eastAsia="es-CL"/>
              </w:rPr>
              <w:t>Nombre</w:t>
            </w:r>
            <w:proofErr w:type="spellEnd"/>
            <w:r w:rsidRPr="002743D9">
              <w:rPr>
                <w:rFonts w:ascii="gobCL" w:eastAsia="Times New Roman" w:hAnsi="gobCL" w:cs="Calibri"/>
                <w:b/>
                <w:lang w:eastAsia="es-CL"/>
              </w:rPr>
              <w:t xml:space="preserve"> </w:t>
            </w:r>
            <w:proofErr w:type="spellStart"/>
            <w:r w:rsidRPr="002743D9">
              <w:rPr>
                <w:rFonts w:ascii="gobCL" w:eastAsia="Times New Roman" w:hAnsi="gobCL" w:cs="Calibri"/>
                <w:b/>
                <w:lang w:eastAsia="es-CL"/>
              </w:rPr>
              <w:t>Estudiante</w:t>
            </w:r>
            <w:proofErr w:type="spellEnd"/>
            <w:r w:rsidRPr="002743D9">
              <w:rPr>
                <w:rFonts w:ascii="gobCL" w:eastAsia="Times New Roman" w:hAnsi="gobCL" w:cs="Calibri"/>
                <w:b/>
                <w:lang w:eastAsia="es-CL"/>
              </w:rPr>
              <w:t>: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743D9">
              <w:rPr>
                <w:rFonts w:ascii="gobCL" w:eastAsia="Times New Roman" w:hAnsi="gobCL" w:cs="Calibri"/>
                <w:b/>
                <w:lang w:eastAsia="es-CL"/>
              </w:rPr>
              <w:t>RUN: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Calibri"/>
                <w:b/>
                <w:lang w:eastAsia="es-CL"/>
              </w:rPr>
              <w:t>Fecha</w:t>
            </w:r>
            <w:proofErr w:type="spellEnd"/>
            <w:r w:rsidRPr="002743D9">
              <w:rPr>
                <w:rFonts w:ascii="gobCL" w:eastAsia="Times New Roman" w:hAnsi="gobCL" w:cs="Calibri"/>
                <w:b/>
                <w:lang w:eastAsia="es-CL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743D9">
              <w:rPr>
                <w:rFonts w:ascii="gobCL" w:eastAsia="Times New Roman" w:hAnsi="gobCL" w:cs="Calibri"/>
                <w:b/>
                <w:lang w:eastAsia="es-CL"/>
              </w:rPr>
              <w:t>Nota:</w:t>
            </w:r>
          </w:p>
        </w:tc>
      </w:tr>
      <w:tr w:rsidR="005233FD" w:rsidRPr="002743D9" w:rsidTr="005233FD">
        <w:trPr>
          <w:trHeight w:val="293"/>
          <w:jc w:val="center"/>
        </w:trPr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2743D9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2743D9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Calibri"/>
                <w:lang w:eastAsia="es-C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Calibri"/>
                <w:lang w:eastAsia="es-CL"/>
              </w:rPr>
            </w:pPr>
            <w:r w:rsidRPr="002743D9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5233FD" w:rsidRPr="005F53DB" w:rsidTr="005233FD">
        <w:trPr>
          <w:trHeight w:val="173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743D9">
              <w:rPr>
                <w:rFonts w:ascii="gobCL" w:eastAsia="Times New Roman" w:hAnsi="gobCL" w:cs="Calibri"/>
                <w:b/>
                <w:lang w:eastAsia="es-CL"/>
              </w:rPr>
              <w:t>OA</w:t>
            </w:r>
          </w:p>
        </w:tc>
        <w:tc>
          <w:tcPr>
            <w:tcW w:w="1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lang w:val="es-CL" w:eastAsia="es-CL"/>
              </w:rPr>
              <w:t>(OA 4) Aplicar técnicas de alimentación y pesaje en planteles pecuarios con fines productivos, según la especie, el sistema y el destino de la producción.</w:t>
            </w:r>
            <w:r w:rsidRPr="002743D9">
              <w:rPr>
                <w:rFonts w:ascii="gobCL" w:eastAsia="Times New Roman" w:hAnsi="gobCL" w:cs="Arial"/>
                <w:lang w:val="es-CL" w:eastAsia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5233FD" w:rsidRPr="005F53DB" w:rsidTr="005233FD">
        <w:trPr>
          <w:trHeight w:val="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Calibri"/>
                <w:b/>
                <w:lang w:eastAsia="es-CL"/>
              </w:rPr>
            </w:pPr>
            <w:r w:rsidRPr="002743D9">
              <w:rPr>
                <w:rFonts w:ascii="gobCL" w:eastAsia="Times New Roman" w:hAnsi="gobCL" w:cs="Calibri"/>
                <w:b/>
                <w:lang w:eastAsia="es-CL"/>
              </w:rPr>
              <w:t>AE</w:t>
            </w:r>
          </w:p>
        </w:tc>
        <w:tc>
          <w:tcPr>
            <w:tcW w:w="1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lang w:val="es-CL" w:eastAsia="es-CL"/>
              </w:rPr>
              <w:t>Controla el peso de animales según el plan de producción y de prevención de riesgos, de acuerdo a legislación de bienestar animal vigente.</w:t>
            </w:r>
          </w:p>
        </w:tc>
      </w:tr>
    </w:tbl>
    <w:p w:rsidR="0019336D" w:rsidRDefault="0019336D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233F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4394"/>
        <w:gridCol w:w="992"/>
        <w:gridCol w:w="992"/>
        <w:gridCol w:w="1291"/>
        <w:gridCol w:w="1100"/>
      </w:tblGrid>
      <w:tr w:rsidR="005233FD" w:rsidRPr="002743D9" w:rsidTr="005233FD">
        <w:trPr>
          <w:trHeight w:val="300"/>
          <w:jc w:val="center"/>
        </w:trPr>
        <w:tc>
          <w:tcPr>
            <w:tcW w:w="4612" w:type="dxa"/>
            <w:vMerge w:val="restart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hAnsi="gobCL"/>
                <w:lang w:val="es-CL"/>
              </w:rPr>
              <w:lastRenderedPageBreak/>
              <w:br w:type="page"/>
            </w: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Criterio</w:t>
            </w:r>
            <w:proofErr w:type="spellEnd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 xml:space="preserve"> de </w:t>
            </w: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evaluación</w:t>
            </w:r>
            <w:proofErr w:type="spellEnd"/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Indicadores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Puntaje</w:t>
            </w:r>
            <w:proofErr w:type="spellEnd"/>
          </w:p>
        </w:tc>
        <w:tc>
          <w:tcPr>
            <w:tcW w:w="1291" w:type="dxa"/>
            <w:vMerge w:val="restart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Porcentaje</w:t>
            </w:r>
            <w:proofErr w:type="spellEnd"/>
          </w:p>
        </w:tc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Ponderado</w:t>
            </w:r>
            <w:proofErr w:type="spellEnd"/>
          </w:p>
        </w:tc>
      </w:tr>
      <w:tr w:rsidR="005233FD" w:rsidRPr="002743D9" w:rsidTr="005233FD">
        <w:trPr>
          <w:trHeight w:val="300"/>
          <w:jc w:val="center"/>
        </w:trPr>
        <w:tc>
          <w:tcPr>
            <w:tcW w:w="4612" w:type="dxa"/>
            <w:vMerge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1291" w:type="dxa"/>
            <w:vMerge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</w:p>
        </w:tc>
      </w:tr>
      <w:tr w:rsidR="005233FD" w:rsidRPr="002743D9" w:rsidTr="005233FD">
        <w:trPr>
          <w:trHeight w:val="141"/>
          <w:jc w:val="center"/>
        </w:trPr>
        <w:tc>
          <w:tcPr>
            <w:tcW w:w="4612" w:type="dxa"/>
            <w:vMerge w:val="restart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2.1 Utiliza técnicas de arreo y sujeción animal dadas las distintas especies, peso, sexo y edad, resguardando el cumplimiento de las normativas de bienestar animal, higiene y seguridad vigentes.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logra mover el lote de animales por la manga y llevarlos a los corrales de manejo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50"/>
          <w:jc w:val="center"/>
        </w:trPr>
        <w:tc>
          <w:tcPr>
            <w:tcW w:w="4612" w:type="dxa"/>
            <w:vMerge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rPr>
                <w:rFonts w:ascii="gobCL" w:eastAsia="Times New Roman" w:hAnsi="gobC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En los corrales de manejo, el estudiante logra aplicar técnicas de sujeción adaptada a la especie animal con la que se está trabajando.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50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INF3 Identifica y analiza información para fundamentar y responder a las necesidades propias de sus actividades..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logra poner en práctica la teoría aprendida en clases.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243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UDR3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es capaz de elegir correctamente los materiales para cada actividad asignada.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223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COM3 Comunica y recibe información relacionada a su actividad o función, a través de medios y soportes adecuados en contextos conocidos.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entiende a cabalidad las instrucciones de la actividad designada por el docente.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593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TCO3 Trabaja colaborativamente en actividades y funciones coordinándose con otros en diversos contextos.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logra trabajar en equipo, colaborando  y coordinando las tareas con sus compañeros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20%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0,2</w:t>
            </w:r>
          </w:p>
        </w:tc>
      </w:tr>
      <w:tr w:rsidR="005233FD" w:rsidRPr="002743D9" w:rsidTr="005233FD">
        <w:trPr>
          <w:trHeight w:val="50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EYR3 Actúa acorde al marco de sus conocimientos, experiencia y alcance de sus actividades y funciones.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se desenvuelve con seguridad en sus conocimientos y logra tomar decisiones acertadas en las oportunidades que lo ameritan.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0,1</w:t>
            </w:r>
          </w:p>
        </w:tc>
      </w:tr>
      <w:tr w:rsidR="005233FD" w:rsidRPr="002743D9" w:rsidTr="005233FD">
        <w:trPr>
          <w:trHeight w:val="50"/>
          <w:jc w:val="center"/>
        </w:trPr>
        <w:tc>
          <w:tcPr>
            <w:tcW w:w="461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 xml:space="preserve">EYR3 Responde por el cumplimiento de los procedimientos y resultados de sus actividades.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logra realizar todas las tareas asignadas en el tiempo disponible asignado para el práctico.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20%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bCs/>
                <w:sz w:val="18"/>
                <w:szCs w:val="18"/>
                <w:lang w:eastAsia="es-CL"/>
              </w:rPr>
              <w:t>0,2</w:t>
            </w:r>
          </w:p>
        </w:tc>
      </w:tr>
      <w:tr w:rsidR="005233FD" w:rsidRPr="00C07EDB" w:rsidTr="005233FD">
        <w:trPr>
          <w:trHeight w:val="50"/>
          <w:jc w:val="center"/>
        </w:trPr>
        <w:tc>
          <w:tcPr>
            <w:tcW w:w="4612" w:type="dxa"/>
            <w:shd w:val="clear" w:color="auto" w:fill="auto"/>
            <w:vAlign w:val="center"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C07EDB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evidencia en su actuar preocupación por la prolijidad de su trabajo, además de buscar soluciones ante problemas surgidos durante las actividades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</w:tr>
      <w:tr w:rsidR="005233FD" w:rsidRPr="002743D9" w:rsidTr="005233FD">
        <w:trPr>
          <w:trHeight w:val="300"/>
          <w:jc w:val="center"/>
        </w:trPr>
        <w:tc>
          <w:tcPr>
            <w:tcW w:w="10990" w:type="dxa"/>
            <w:gridSpan w:val="4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5233FD" w:rsidRPr="00C07EDB" w:rsidRDefault="005233F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100%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  <w:r w:rsidRPr="002743D9">
              <w:rPr>
                <w:rFonts w:ascii="gobCL" w:eastAsia="Times New Roman" w:hAnsi="gobCL" w:cs="Arial"/>
                <w:sz w:val="18"/>
                <w:szCs w:val="18"/>
                <w:lang w:eastAsia="es-CL"/>
              </w:rPr>
              <w:t>7,0</w:t>
            </w:r>
          </w:p>
        </w:tc>
      </w:tr>
      <w:tr w:rsidR="005233FD" w:rsidRPr="002743D9" w:rsidTr="005233FD">
        <w:trPr>
          <w:trHeight w:val="300"/>
          <w:jc w:val="center"/>
        </w:trPr>
        <w:tc>
          <w:tcPr>
            <w:tcW w:w="10990" w:type="dxa"/>
            <w:gridSpan w:val="4"/>
            <w:vMerge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  <w:t>Ponderación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  <w:t>Puntaje</w:t>
            </w:r>
            <w:proofErr w:type="spellEnd"/>
          </w:p>
        </w:tc>
      </w:tr>
      <w:tr w:rsidR="005233FD" w:rsidRPr="002743D9" w:rsidTr="005233FD">
        <w:trPr>
          <w:trHeight w:val="300"/>
          <w:jc w:val="center"/>
        </w:trPr>
        <w:tc>
          <w:tcPr>
            <w:tcW w:w="10990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eastAsia="es-CL"/>
              </w:rPr>
            </w:pP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  <w:t>Actividad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5233FD" w:rsidRPr="002743D9" w:rsidRDefault="005233F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</w:pPr>
            <w:proofErr w:type="spellStart"/>
            <w:r w:rsidRPr="002743D9">
              <w:rPr>
                <w:rFonts w:ascii="gobCL" w:eastAsia="Times New Roman" w:hAnsi="gobCL" w:cs="Arial"/>
                <w:b/>
                <w:sz w:val="18"/>
                <w:szCs w:val="18"/>
                <w:lang w:eastAsia="es-CL"/>
              </w:rPr>
              <w:t>Actividad</w:t>
            </w:r>
            <w:proofErr w:type="spellEnd"/>
          </w:p>
        </w:tc>
      </w:tr>
    </w:tbl>
    <w:p w:rsidR="005233FD" w:rsidRDefault="005233F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A6" w:rsidRDefault="001918A6">
      <w:r>
        <w:separator/>
      </w:r>
    </w:p>
  </w:endnote>
  <w:endnote w:type="continuationSeparator" w:id="0">
    <w:p w:rsidR="001918A6" w:rsidRDefault="001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A6" w:rsidRDefault="001918A6">
      <w:r>
        <w:separator/>
      </w:r>
    </w:p>
  </w:footnote>
  <w:footnote w:type="continuationSeparator" w:id="0">
    <w:p w:rsidR="001918A6" w:rsidRDefault="0019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563A9"/>
    <w:multiLevelType w:val="multilevel"/>
    <w:tmpl w:val="1F8ED0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3"/>
  </w:num>
  <w:num w:numId="5">
    <w:abstractNumId w:val="21"/>
  </w:num>
  <w:num w:numId="6">
    <w:abstractNumId w:val="5"/>
  </w:num>
  <w:num w:numId="7">
    <w:abstractNumId w:val="25"/>
  </w:num>
  <w:num w:numId="8">
    <w:abstractNumId w:val="9"/>
  </w:num>
  <w:num w:numId="9">
    <w:abstractNumId w:val="18"/>
  </w:num>
  <w:num w:numId="10">
    <w:abstractNumId w:val="31"/>
  </w:num>
  <w:num w:numId="11">
    <w:abstractNumId w:val="16"/>
  </w:num>
  <w:num w:numId="12">
    <w:abstractNumId w:val="1"/>
  </w:num>
  <w:num w:numId="13">
    <w:abstractNumId w:val="24"/>
  </w:num>
  <w:num w:numId="14">
    <w:abstractNumId w:val="28"/>
  </w:num>
  <w:num w:numId="15">
    <w:abstractNumId w:val="23"/>
  </w:num>
  <w:num w:numId="16">
    <w:abstractNumId w:val="8"/>
  </w:num>
  <w:num w:numId="17">
    <w:abstractNumId w:val="27"/>
  </w:num>
  <w:num w:numId="18">
    <w:abstractNumId w:val="7"/>
  </w:num>
  <w:num w:numId="19">
    <w:abstractNumId w:val="32"/>
  </w:num>
  <w:num w:numId="20">
    <w:abstractNumId w:val="19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6"/>
  </w:num>
  <w:num w:numId="26">
    <w:abstractNumId w:val="22"/>
  </w:num>
  <w:num w:numId="27">
    <w:abstractNumId w:val="17"/>
  </w:num>
  <w:num w:numId="28">
    <w:abstractNumId w:val="4"/>
  </w:num>
  <w:num w:numId="29">
    <w:abstractNumId w:val="13"/>
  </w:num>
  <w:num w:numId="30">
    <w:abstractNumId w:val="30"/>
  </w:num>
  <w:num w:numId="31">
    <w:abstractNumId w:val="20"/>
  </w:num>
  <w:num w:numId="32">
    <w:abstractNumId w:val="29"/>
  </w:num>
  <w:num w:numId="33">
    <w:abstractNumId w:val="1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26FC"/>
    <w:rsid w:val="00106B99"/>
    <w:rsid w:val="00142F69"/>
    <w:rsid w:val="00145CA1"/>
    <w:rsid w:val="00152673"/>
    <w:rsid w:val="00155538"/>
    <w:rsid w:val="001918A6"/>
    <w:rsid w:val="0019336D"/>
    <w:rsid w:val="001D6ED4"/>
    <w:rsid w:val="002043CC"/>
    <w:rsid w:val="00211564"/>
    <w:rsid w:val="0027208E"/>
    <w:rsid w:val="002C638C"/>
    <w:rsid w:val="002F7E46"/>
    <w:rsid w:val="0032488C"/>
    <w:rsid w:val="00335C00"/>
    <w:rsid w:val="00401314"/>
    <w:rsid w:val="0042489E"/>
    <w:rsid w:val="004924F0"/>
    <w:rsid w:val="004B00F6"/>
    <w:rsid w:val="005203CE"/>
    <w:rsid w:val="005233FD"/>
    <w:rsid w:val="00540181"/>
    <w:rsid w:val="00580206"/>
    <w:rsid w:val="005E4A61"/>
    <w:rsid w:val="005F53DB"/>
    <w:rsid w:val="005F783D"/>
    <w:rsid w:val="00601AF9"/>
    <w:rsid w:val="006236F1"/>
    <w:rsid w:val="00625A4C"/>
    <w:rsid w:val="00636E94"/>
    <w:rsid w:val="006B0764"/>
    <w:rsid w:val="006B6DF5"/>
    <w:rsid w:val="00710112"/>
    <w:rsid w:val="007A5E77"/>
    <w:rsid w:val="007B53CA"/>
    <w:rsid w:val="007D2DF3"/>
    <w:rsid w:val="007E6EDB"/>
    <w:rsid w:val="00825067"/>
    <w:rsid w:val="00854BDE"/>
    <w:rsid w:val="00894879"/>
    <w:rsid w:val="009149DE"/>
    <w:rsid w:val="00944490"/>
    <w:rsid w:val="009A09AA"/>
    <w:rsid w:val="009B4AE4"/>
    <w:rsid w:val="009B5C3E"/>
    <w:rsid w:val="009D7EAB"/>
    <w:rsid w:val="009F16AD"/>
    <w:rsid w:val="009F3C15"/>
    <w:rsid w:val="00A63608"/>
    <w:rsid w:val="00A95FE9"/>
    <w:rsid w:val="00B706BD"/>
    <w:rsid w:val="00BC1497"/>
    <w:rsid w:val="00BF0368"/>
    <w:rsid w:val="00C15EC7"/>
    <w:rsid w:val="00C22068"/>
    <w:rsid w:val="00C935E7"/>
    <w:rsid w:val="00CD7E76"/>
    <w:rsid w:val="00CE7F92"/>
    <w:rsid w:val="00D57029"/>
    <w:rsid w:val="00D6374B"/>
    <w:rsid w:val="00D65419"/>
    <w:rsid w:val="00DA19A4"/>
    <w:rsid w:val="00DA1ACA"/>
    <w:rsid w:val="00DE0D3F"/>
    <w:rsid w:val="00DF7C45"/>
    <w:rsid w:val="00E81ECE"/>
    <w:rsid w:val="00E91B88"/>
    <w:rsid w:val="00ED0786"/>
    <w:rsid w:val="00F32C0E"/>
    <w:rsid w:val="00F40727"/>
    <w:rsid w:val="00F9619A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DD5A8A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54F2-DC51-4966-99AF-921E375B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19</cp:revision>
  <cp:lastPrinted>2010-11-12T17:02:00Z</cp:lastPrinted>
  <dcterms:created xsi:type="dcterms:W3CDTF">2020-11-17T20:11:00Z</dcterms:created>
  <dcterms:modified xsi:type="dcterms:W3CDTF">2020-12-09T21:22:00Z</dcterms:modified>
</cp:coreProperties>
</file>