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76B456F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68649F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bookmarkStart w:id="0" w:name="_GoBack"/>
      <w:bookmarkEnd w:id="0"/>
    </w:p>
    <w:p w14:paraId="5C0391A2" w14:textId="77777777" w:rsidR="00DC3515" w:rsidRPr="00DC3515" w:rsidRDefault="00DC3515" w:rsidP="00DC35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C3515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Caracteristicas de plantas y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F827AAF" w:rsidR="006F751F" w:rsidRPr="002F3D14" w:rsidRDefault="00DC3515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C3515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 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102751" w14:textId="77777777" w:rsidR="0068649F" w:rsidRPr="0068649F" w:rsidRDefault="0068649F" w:rsidP="0068649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649F">
              <w:rPr>
                <w:rFonts w:ascii="Arial" w:hAnsi="Arial" w:cs="Arial"/>
                <w:sz w:val="24"/>
                <w:szCs w:val="24"/>
              </w:rPr>
              <w:t>Los estudiantes juegan al “Bingo de los animales y plantas”. Para esto reciben un cartón con la ilustración (y los nombres) de plantas y animales chilenos. El estudiante va cubriendo su tarjeta con un pedazo de papel aquellos nombrados por el docente. El primer estudiante que cubre todos los animales y plantas es el ganador.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5F0EFE-A942-6844-A19D-9B712F64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567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2020-05-25T21:36:00Z</dcterms:created>
  <dcterms:modified xsi:type="dcterms:W3CDTF">2020-05-25T21:36:00Z</dcterms:modified>
</cp:coreProperties>
</file>