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0AD9770D" w:rsidR="0038620D" w:rsidRDefault="008C096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EC9C7FA" w:rsidR="00A340E5" w:rsidRPr="00313B3F" w:rsidRDefault="008C0960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en forma directa y en obras de arte, fotografías y videos, diferentes moluscos y especies marinas (caracoles, machas, choros, medusas, pulpos y otros) y describen sus formas, colores, formas de desplazamiento, tamaños y otros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D2FC0" w14:textId="77777777" w:rsidR="00971084" w:rsidRDefault="00971084" w:rsidP="00B9327C">
      <w:pPr>
        <w:spacing w:after="0" w:line="240" w:lineRule="auto"/>
      </w:pPr>
      <w:r>
        <w:separator/>
      </w:r>
    </w:p>
  </w:endnote>
  <w:endnote w:type="continuationSeparator" w:id="0">
    <w:p w14:paraId="58A957AD" w14:textId="77777777" w:rsidR="00971084" w:rsidRDefault="009710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5F76E" w14:textId="77777777" w:rsidR="00971084" w:rsidRDefault="00971084" w:rsidP="00B9327C">
      <w:pPr>
        <w:spacing w:after="0" w:line="240" w:lineRule="auto"/>
      </w:pPr>
      <w:r>
        <w:separator/>
      </w:r>
    </w:p>
  </w:footnote>
  <w:footnote w:type="continuationSeparator" w:id="0">
    <w:p w14:paraId="1D09E943" w14:textId="77777777" w:rsidR="00971084" w:rsidRDefault="009710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2020-06-16T19:40:00Z</dcterms:modified>
</cp:coreProperties>
</file>