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37403" w14:textId="77777777" w:rsidR="00BD016A" w:rsidRPr="007D50B9" w:rsidRDefault="00BD016A" w:rsidP="008E1202">
      <w:pPr>
        <w:spacing w:after="0"/>
        <w:rPr>
          <w:rFonts w:ascii="Arial" w:hAnsi="Arial" w:cs="Arial"/>
          <w:sz w:val="24"/>
          <w:szCs w:val="24"/>
        </w:rPr>
      </w:pPr>
    </w:p>
    <w:p w14:paraId="79F4A0EA" w14:textId="7ADCCCD3" w:rsidR="007D50B9" w:rsidRDefault="007D50B9" w:rsidP="007D50B9">
      <w:pPr>
        <w:jc w:val="center"/>
        <w:rPr>
          <w:rFonts w:ascii="Arial" w:hAnsi="Arial" w:cs="Arial"/>
          <w:b/>
          <w:noProof/>
          <w:color w:val="404040" w:themeColor="text1" w:themeTint="BF"/>
          <w:sz w:val="24"/>
          <w:szCs w:val="24"/>
          <w:lang w:val="en-US"/>
        </w:rPr>
      </w:pPr>
      <w:r w:rsidRPr="007D50B9">
        <w:rPr>
          <w:rFonts w:ascii="Arial" w:hAnsi="Arial" w:cs="Arial"/>
          <w:b/>
          <w:noProof/>
          <w:color w:val="404040" w:themeColor="text1" w:themeTint="BF"/>
          <w:sz w:val="24"/>
          <w:szCs w:val="24"/>
          <w:lang w:val="en-US"/>
        </w:rPr>
        <w:t>PAUTA DE RESPUESTA PARA EL PROFESOR</w:t>
      </w:r>
    </w:p>
    <w:p w14:paraId="7A106646" w14:textId="77777777" w:rsidR="00004734" w:rsidRPr="009941B9" w:rsidRDefault="00004734" w:rsidP="00004734">
      <w:pPr>
        <w:jc w:val="center"/>
        <w:rPr>
          <w:rFonts w:ascii="Arial" w:hAnsi="Arial" w:cs="Arial"/>
          <w:b/>
          <w:color w:val="404040" w:themeColor="text1" w:themeTint="BF"/>
          <w:sz w:val="24"/>
          <w:szCs w:val="24"/>
        </w:rPr>
      </w:pPr>
      <w:r w:rsidRPr="009941B9">
        <w:rPr>
          <w:rFonts w:ascii="Arial" w:hAnsi="Arial" w:cs="Arial"/>
          <w:b/>
          <w:noProof/>
          <w:color w:val="404040" w:themeColor="text1" w:themeTint="BF"/>
          <w:sz w:val="24"/>
          <w:szCs w:val="24"/>
          <w:lang w:val="en-US"/>
        </w:rPr>
        <mc:AlternateContent>
          <mc:Choice Requires="wps">
            <w:drawing>
              <wp:anchor distT="0" distB="0" distL="114300" distR="114300" simplePos="0" relativeHeight="251660288" behindDoc="0" locked="0" layoutInCell="1" allowOverlap="1" wp14:anchorId="1125D91C" wp14:editId="7406C56F">
                <wp:simplePos x="0" y="0"/>
                <wp:positionH relativeFrom="column">
                  <wp:posOffset>1047750</wp:posOffset>
                </wp:positionH>
                <wp:positionV relativeFrom="paragraph">
                  <wp:posOffset>371475</wp:posOffset>
                </wp:positionV>
                <wp:extent cx="4260850" cy="0"/>
                <wp:effectExtent l="0" t="0" r="31750" b="25400"/>
                <wp:wrapNone/>
                <wp:docPr id="7" name="Straight Connector 7"/>
                <wp:cNvGraphicFramePr/>
                <a:graphic xmlns:a="http://schemas.openxmlformats.org/drawingml/2006/main">
                  <a:graphicData uri="http://schemas.microsoft.com/office/word/2010/wordprocessingShape">
                    <wps:wsp>
                      <wps:cNvCnPr/>
                      <wps:spPr>
                        <a:xfrm>
                          <a:off x="0" y="0"/>
                          <a:ext cx="42608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67C07"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29.25pt" to="418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" strokecolor="#00c181" strokeweight="2pt"/>
            </w:pict>
          </mc:Fallback>
        </mc:AlternateContent>
      </w:r>
      <w:r w:rsidRPr="009941B9">
        <w:rPr>
          <w:sz w:val="24"/>
          <w:szCs w:val="24"/>
        </w:rPr>
        <w:t xml:space="preserve"> </w:t>
      </w:r>
      <w:r>
        <w:rPr>
          <w:rFonts w:ascii="Arial" w:hAnsi="Arial" w:cs="Arial"/>
          <w:b/>
          <w:noProof/>
          <w:color w:val="404040" w:themeColor="text1" w:themeTint="BF"/>
          <w:sz w:val="24"/>
          <w:szCs w:val="24"/>
          <w:lang w:val="en-US"/>
        </w:rPr>
        <w:t>Anticonceptivos y VIH</w:t>
      </w:r>
    </w:p>
    <w:p w14:paraId="62308A0F" w14:textId="77777777" w:rsidR="00004734" w:rsidRPr="009941B9" w:rsidRDefault="00004734" w:rsidP="00004734">
      <w:pPr>
        <w:spacing w:after="0"/>
        <w:rPr>
          <w:rFonts w:ascii="Arial" w:hAnsi="Arial" w:cs="Arial"/>
          <w:b/>
          <w:color w:val="00C181"/>
          <w:sz w:val="24"/>
          <w:szCs w:val="24"/>
        </w:rPr>
      </w:pPr>
    </w:p>
    <w:p w14:paraId="7B2D3A63" w14:textId="0850FE8B" w:rsidR="00004734" w:rsidRPr="00004734" w:rsidRDefault="00004734" w:rsidP="00004734">
      <w:pPr>
        <w:rPr>
          <w:rFonts w:ascii="Arial" w:hAnsi="Arial" w:cs="Arial"/>
          <w:color w:val="404040" w:themeColor="text1" w:themeTint="BF"/>
          <w:sz w:val="20"/>
          <w:szCs w:val="20"/>
        </w:rPr>
      </w:pPr>
      <w:r>
        <w:rPr>
          <w:rFonts w:ascii="Arial" w:hAnsi="Arial" w:cs="Arial"/>
          <w:b/>
          <w:noProof/>
          <w:color w:val="404040" w:themeColor="text1" w:themeTint="BF"/>
          <w:sz w:val="24"/>
          <w:szCs w:val="24"/>
          <w:lang w:val="en-US"/>
        </w:rPr>
        <w:drawing>
          <wp:anchor distT="0" distB="0" distL="114300" distR="114300" simplePos="0" relativeHeight="251658240" behindDoc="1" locked="0" layoutInCell="1" allowOverlap="1" wp14:anchorId="56522EAC" wp14:editId="44E0E2A1">
            <wp:simplePos x="0" y="0"/>
            <wp:positionH relativeFrom="column">
              <wp:posOffset>1749425</wp:posOffset>
            </wp:positionH>
            <wp:positionV relativeFrom="paragraph">
              <wp:posOffset>363220</wp:posOffset>
            </wp:positionV>
            <wp:extent cx="2606675" cy="1299210"/>
            <wp:effectExtent l="0" t="0" r="3175" b="0"/>
            <wp:wrapTight wrapText="bothSides">
              <wp:wrapPolygon edited="0">
                <wp:start x="0" y="0"/>
                <wp:lineTo x="0" y="21220"/>
                <wp:lineTo x="21468" y="21220"/>
                <wp:lineTo x="2146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6675" cy="1299210"/>
                    </a:xfrm>
                    <a:prstGeom prst="rect">
                      <a:avLst/>
                    </a:prstGeom>
                    <a:noFill/>
                  </pic:spPr>
                </pic:pic>
              </a:graphicData>
            </a:graphic>
            <wp14:sizeRelH relativeFrom="page">
              <wp14:pctWidth>0</wp14:pctWidth>
            </wp14:sizeRelH>
            <wp14:sizeRelV relativeFrom="page">
              <wp14:pctHeight>0</wp14:pctHeight>
            </wp14:sizeRelV>
          </wp:anchor>
        </w:drawing>
      </w:r>
      <w:r w:rsidRPr="00004734">
        <w:rPr>
          <w:rFonts w:ascii="Arial" w:hAnsi="Arial" w:cs="Arial"/>
          <w:color w:val="404040" w:themeColor="text1" w:themeTint="BF"/>
          <w:sz w:val="20"/>
          <w:szCs w:val="20"/>
        </w:rPr>
        <w:t>Observa el siguiente gráfico que compara la cantidad de personas con VIH en el mundo y en Chile entre el 2015-2018. Para poder fundamentar las respuestas necesitarás investigar sobre algunos temas.</w:t>
      </w:r>
    </w:p>
    <w:p w14:paraId="6945177F" w14:textId="77777777" w:rsidR="00004734" w:rsidRDefault="00004734" w:rsidP="007D50B9">
      <w:pPr>
        <w:jc w:val="center"/>
        <w:rPr>
          <w:rFonts w:ascii="Arial" w:hAnsi="Arial" w:cs="Arial"/>
          <w:b/>
          <w:noProof/>
          <w:color w:val="404040" w:themeColor="text1" w:themeTint="BF"/>
          <w:sz w:val="24"/>
          <w:szCs w:val="24"/>
          <w:lang w:val="en-US"/>
        </w:rPr>
      </w:pPr>
    </w:p>
    <w:p w14:paraId="1AA35388" w14:textId="77777777" w:rsidR="00004734" w:rsidRDefault="00004734" w:rsidP="007D50B9">
      <w:pPr>
        <w:jc w:val="center"/>
        <w:rPr>
          <w:rFonts w:ascii="Arial" w:hAnsi="Arial" w:cs="Arial"/>
          <w:b/>
          <w:noProof/>
          <w:color w:val="404040" w:themeColor="text1" w:themeTint="BF"/>
          <w:sz w:val="24"/>
          <w:szCs w:val="24"/>
          <w:lang w:val="en-US"/>
        </w:rPr>
      </w:pPr>
    </w:p>
    <w:p w14:paraId="06C84D92" w14:textId="77777777" w:rsidR="00004734" w:rsidRDefault="00004734" w:rsidP="007D50B9">
      <w:pPr>
        <w:jc w:val="center"/>
        <w:rPr>
          <w:rFonts w:ascii="Arial" w:hAnsi="Arial" w:cs="Arial"/>
          <w:b/>
          <w:noProof/>
          <w:color w:val="404040" w:themeColor="text1" w:themeTint="BF"/>
          <w:sz w:val="24"/>
          <w:szCs w:val="24"/>
          <w:lang w:val="en-US"/>
        </w:rPr>
      </w:pPr>
    </w:p>
    <w:p w14:paraId="537CE956" w14:textId="3193A5EB" w:rsidR="00004734" w:rsidRDefault="00004734" w:rsidP="007D50B9">
      <w:pPr>
        <w:jc w:val="center"/>
        <w:rPr>
          <w:rFonts w:ascii="Arial" w:hAnsi="Arial" w:cs="Arial"/>
          <w:b/>
          <w:noProof/>
          <w:color w:val="404040" w:themeColor="text1" w:themeTint="BF"/>
          <w:sz w:val="24"/>
          <w:szCs w:val="24"/>
          <w:lang w:val="en-US"/>
        </w:rPr>
      </w:pPr>
    </w:p>
    <w:p w14:paraId="1CBDE581" w14:textId="79D200FE" w:rsidR="00004734" w:rsidRPr="00004734" w:rsidRDefault="00004734" w:rsidP="00004734">
      <w:pPr>
        <w:spacing w:after="0"/>
        <w:rPr>
          <w:rFonts w:ascii="Arial" w:hAnsi="Arial" w:cs="Arial"/>
          <w:noProof/>
          <w:color w:val="404040" w:themeColor="text1" w:themeTint="BF"/>
          <w:sz w:val="20"/>
          <w:szCs w:val="20"/>
          <w:lang w:val="en-US"/>
        </w:rPr>
      </w:pPr>
      <w:r w:rsidRPr="00004734">
        <w:rPr>
          <w:rFonts w:ascii="Arial" w:hAnsi="Arial" w:cs="Arial"/>
          <w:b/>
          <w:noProof/>
          <w:color w:val="404040" w:themeColor="text1" w:themeTint="BF"/>
          <w:sz w:val="24"/>
          <w:szCs w:val="24"/>
          <w:lang w:val="en-US"/>
        </w:rPr>
        <w:t>1.</w:t>
      </w:r>
      <w:r w:rsidRPr="00004734">
        <w:rPr>
          <w:rFonts w:ascii="Arial" w:hAnsi="Arial" w:cs="Arial"/>
          <w:b/>
          <w:noProof/>
          <w:color w:val="404040" w:themeColor="text1" w:themeTint="BF"/>
          <w:sz w:val="24"/>
          <w:szCs w:val="24"/>
          <w:lang w:val="en-US"/>
        </w:rPr>
        <w:tab/>
      </w:r>
      <w:r w:rsidRPr="00004734">
        <w:rPr>
          <w:rFonts w:ascii="Arial" w:hAnsi="Arial" w:cs="Arial"/>
          <w:noProof/>
          <w:color w:val="404040" w:themeColor="text1" w:themeTint="BF"/>
          <w:sz w:val="20"/>
          <w:szCs w:val="20"/>
          <w:lang w:val="en-US"/>
        </w:rPr>
        <w:t>¿Qué causas podrían explicar el incremento de los casos de contagios del VIH/SIDA, tanto de chilenos como extranjeros, en nuestro país en el período 2015-2017?</w:t>
      </w:r>
    </w:p>
    <w:p w14:paraId="3C1A57E9" w14:textId="1BDE1778" w:rsidR="00004734" w:rsidRPr="00004734" w:rsidRDefault="00004734" w:rsidP="00004734">
      <w:pPr>
        <w:pStyle w:val="Prrafodelista"/>
        <w:numPr>
          <w:ilvl w:val="0"/>
          <w:numId w:val="11"/>
        </w:num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Falta de profilaxis relacionada con la ITS.</w:t>
      </w:r>
    </w:p>
    <w:p w14:paraId="59AB5B83" w14:textId="2E8D9632" w:rsidR="00004734" w:rsidRPr="00004734" w:rsidRDefault="00004734" w:rsidP="00004734">
      <w:pPr>
        <w:pStyle w:val="Prrafodelista"/>
        <w:numPr>
          <w:ilvl w:val="0"/>
          <w:numId w:val="11"/>
        </w:num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Falta educación sexual de los jóvenes integrada en los currículos escolares.</w:t>
      </w:r>
    </w:p>
    <w:p w14:paraId="1DE29093" w14:textId="15C04775" w:rsidR="00004734" w:rsidRPr="00004734" w:rsidRDefault="00004734" w:rsidP="00004734">
      <w:pPr>
        <w:pStyle w:val="Prrafodelista"/>
        <w:numPr>
          <w:ilvl w:val="0"/>
          <w:numId w:val="11"/>
        </w:num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Ineficacia de las campañas de prevención impulsadas por parte del Estado.</w:t>
      </w:r>
    </w:p>
    <w:p w14:paraId="17D12508" w14:textId="58825DDD" w:rsidR="00004734" w:rsidRPr="00004734" w:rsidRDefault="00004734" w:rsidP="00004734">
      <w:pPr>
        <w:pStyle w:val="Prrafodelista"/>
        <w:numPr>
          <w:ilvl w:val="0"/>
          <w:numId w:val="11"/>
        </w:num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Burocratización del examen (orden médica, consentimiento informado, consejería), por ende, la población no se hace el examen.</w:t>
      </w:r>
    </w:p>
    <w:p w14:paraId="4D865E46" w14:textId="10FEAE62" w:rsidR="00004734" w:rsidRPr="00004734" w:rsidRDefault="00004734" w:rsidP="00004734">
      <w:pPr>
        <w:pStyle w:val="Prrafodelista"/>
        <w:numPr>
          <w:ilvl w:val="0"/>
          <w:numId w:val="11"/>
        </w:num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Pérdida del temor a la enfermedad en cuanto ya no representa una condición ineludiblemente mortal, lo que ha devenido descuidar la protección de las prácticas sexuales.</w:t>
      </w:r>
    </w:p>
    <w:p w14:paraId="36DB9060" w14:textId="77777777" w:rsidR="00004734" w:rsidRPr="00004734" w:rsidRDefault="00004734" w:rsidP="00004734">
      <w:pPr>
        <w:spacing w:after="0"/>
        <w:rPr>
          <w:rFonts w:ascii="Arial" w:hAnsi="Arial" w:cs="Arial"/>
          <w:noProof/>
          <w:color w:val="404040" w:themeColor="text1" w:themeTint="BF"/>
          <w:sz w:val="20"/>
          <w:szCs w:val="20"/>
          <w:lang w:val="en-US"/>
        </w:rPr>
      </w:pPr>
    </w:p>
    <w:p w14:paraId="203E90C3" w14:textId="77777777" w:rsidR="00004734" w:rsidRPr="00004734" w:rsidRDefault="00004734" w:rsidP="00004734">
      <w:pPr>
        <w:spacing w:after="0"/>
        <w:rPr>
          <w:rFonts w:ascii="Arial" w:hAnsi="Arial" w:cs="Arial"/>
          <w:noProof/>
          <w:color w:val="404040" w:themeColor="text1" w:themeTint="BF"/>
          <w:sz w:val="20"/>
          <w:szCs w:val="20"/>
          <w:lang w:val="en-US"/>
        </w:rPr>
      </w:pPr>
      <w:r w:rsidRPr="00004734">
        <w:rPr>
          <w:rFonts w:ascii="Arial" w:hAnsi="Arial" w:cs="Arial"/>
          <w:noProof/>
          <w:color w:val="404040" w:themeColor="text1" w:themeTint="BF"/>
          <w:sz w:val="20"/>
          <w:szCs w:val="20"/>
          <w:lang w:val="en-US"/>
        </w:rPr>
        <w:t>2.</w:t>
      </w:r>
      <w:r w:rsidRPr="00004734">
        <w:rPr>
          <w:rFonts w:ascii="Arial" w:hAnsi="Arial" w:cs="Arial"/>
          <w:noProof/>
          <w:color w:val="404040" w:themeColor="text1" w:themeTint="BF"/>
          <w:sz w:val="20"/>
          <w:szCs w:val="20"/>
          <w:lang w:val="en-US"/>
        </w:rPr>
        <w:tab/>
        <w:t xml:space="preserve">¿Qué relación se establece entre el uso de preservativo y el aumento en el registro de personas contagiadas con esta enfermedad? </w:t>
      </w:r>
    </w:p>
    <w:p w14:paraId="1B44532C" w14:textId="77777777" w:rsidR="00004734" w:rsidRPr="00004734" w:rsidRDefault="00004734" w:rsidP="00004734">
      <w:pPr>
        <w:spacing w:after="0"/>
        <w:rPr>
          <w:rFonts w:ascii="Arial" w:hAnsi="Arial" w:cs="Arial"/>
          <w:noProof/>
          <w:color w:val="404040" w:themeColor="text1" w:themeTint="BF"/>
          <w:sz w:val="20"/>
          <w:szCs w:val="20"/>
          <w:lang w:val="en-US"/>
        </w:rPr>
      </w:pPr>
      <w:r w:rsidRPr="00004734">
        <w:rPr>
          <w:rFonts w:ascii="Arial" w:hAnsi="Arial" w:cs="Arial"/>
          <w:noProof/>
          <w:color w:val="404040" w:themeColor="text1" w:themeTint="BF"/>
          <w:sz w:val="20"/>
          <w:szCs w:val="20"/>
          <w:lang w:val="en-US"/>
        </w:rPr>
        <w:t>La relación que se puede establecer entre el uso del preservativo y el aumento en el registro de personas contagiadas, es la falta de uso durante la relación sexual, ya sea por diversas razones tales como:</w:t>
      </w:r>
    </w:p>
    <w:p w14:paraId="273779A8" w14:textId="5B2B634C" w:rsidR="00004734" w:rsidRPr="00004734" w:rsidRDefault="00004734" w:rsidP="00004734">
      <w:pPr>
        <w:pStyle w:val="Prrafodelista"/>
        <w:numPr>
          <w:ilvl w:val="0"/>
          <w:numId w:val="12"/>
        </w:num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 xml:space="preserve">El preservativo tiene “cierto nivel de incomodidad”, ya que cuando están “con un nivel de deseo alto, parar para ponérselo les resulta muy incómodo”. </w:t>
      </w:r>
    </w:p>
    <w:p w14:paraId="1642DE20" w14:textId="0FDCEDBB" w:rsidR="00004734" w:rsidRPr="00004734" w:rsidRDefault="00004734" w:rsidP="00004734">
      <w:pPr>
        <w:pStyle w:val="Prrafodelista"/>
        <w:numPr>
          <w:ilvl w:val="0"/>
          <w:numId w:val="12"/>
        </w:num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 xml:space="preserve">Un pequeño porcentaje de personas pierden la erección en ese momento de parada. </w:t>
      </w:r>
    </w:p>
    <w:p w14:paraId="1E503F07" w14:textId="63984AFF" w:rsidR="00004734" w:rsidRPr="00004734" w:rsidRDefault="00004734" w:rsidP="00004734">
      <w:pPr>
        <w:pStyle w:val="Prrafodelista"/>
        <w:numPr>
          <w:ilvl w:val="0"/>
          <w:numId w:val="12"/>
        </w:num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 xml:space="preserve">Porque tienen una visión de la sexualidad guiada por el rendimiento, sin tener conciencia del peligro. </w:t>
      </w:r>
    </w:p>
    <w:p w14:paraId="078EBB60" w14:textId="78638B10" w:rsidR="00004734" w:rsidRPr="00004734" w:rsidRDefault="00004734" w:rsidP="00004734">
      <w:pPr>
        <w:pStyle w:val="Prrafodelista"/>
        <w:numPr>
          <w:ilvl w:val="0"/>
          <w:numId w:val="12"/>
        </w:num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Para determinadas personas es más placentero si no están acostumbradas a usarlo.</w:t>
      </w:r>
    </w:p>
    <w:p w14:paraId="09B6FE76" w14:textId="77777777" w:rsidR="00004734" w:rsidRPr="00004734" w:rsidRDefault="00004734" w:rsidP="00004734">
      <w:pPr>
        <w:spacing w:after="0"/>
        <w:rPr>
          <w:rFonts w:ascii="Arial" w:hAnsi="Arial" w:cs="Arial"/>
          <w:noProof/>
          <w:color w:val="404040" w:themeColor="text1" w:themeTint="BF"/>
          <w:sz w:val="20"/>
          <w:szCs w:val="20"/>
          <w:lang w:val="en-US"/>
        </w:rPr>
      </w:pPr>
    </w:p>
    <w:p w14:paraId="40E010BC" w14:textId="77777777" w:rsidR="00004734" w:rsidRDefault="00004734">
      <w:pPr>
        <w:rPr>
          <w:rFonts w:ascii="Arial" w:hAnsi="Arial" w:cs="Arial"/>
          <w:noProof/>
          <w:color w:val="404040" w:themeColor="text1" w:themeTint="BF"/>
          <w:sz w:val="20"/>
          <w:szCs w:val="20"/>
          <w:lang w:val="en-US"/>
        </w:rPr>
      </w:pPr>
      <w:r>
        <w:rPr>
          <w:rFonts w:ascii="Arial" w:hAnsi="Arial" w:cs="Arial"/>
          <w:noProof/>
          <w:color w:val="404040" w:themeColor="text1" w:themeTint="BF"/>
          <w:sz w:val="20"/>
          <w:szCs w:val="20"/>
          <w:lang w:val="en-US"/>
        </w:rPr>
        <w:br w:type="page"/>
      </w:r>
    </w:p>
    <w:p w14:paraId="6FD04301" w14:textId="3351E492" w:rsidR="00C03FFE" w:rsidRDefault="00004734" w:rsidP="00004734">
      <w:pPr>
        <w:spacing w:after="0"/>
        <w:rPr>
          <w:rFonts w:ascii="Arial" w:hAnsi="Arial" w:cs="Arial"/>
          <w:noProof/>
          <w:color w:val="404040" w:themeColor="text1" w:themeTint="BF"/>
          <w:sz w:val="20"/>
          <w:szCs w:val="20"/>
          <w:lang w:val="en-US"/>
        </w:rPr>
      </w:pPr>
      <w:r>
        <w:rPr>
          <w:rFonts w:ascii="Arial" w:hAnsi="Arial" w:cs="Arial"/>
          <w:noProof/>
          <w:color w:val="404040" w:themeColor="text1" w:themeTint="BF"/>
          <w:sz w:val="20"/>
          <w:szCs w:val="20"/>
          <w:lang w:val="en-US"/>
        </w:rPr>
        <w:lastRenderedPageBreak/>
        <w:drawing>
          <wp:anchor distT="0" distB="0" distL="114300" distR="114300" simplePos="0" relativeHeight="251661312" behindDoc="1" locked="0" layoutInCell="1" allowOverlap="1" wp14:anchorId="7D44352E" wp14:editId="7AF9C00E">
            <wp:simplePos x="0" y="0"/>
            <wp:positionH relativeFrom="column">
              <wp:posOffset>3089910</wp:posOffset>
            </wp:positionH>
            <wp:positionV relativeFrom="paragraph">
              <wp:posOffset>76835</wp:posOffset>
            </wp:positionV>
            <wp:extent cx="3219450" cy="1670050"/>
            <wp:effectExtent l="0" t="0" r="0" b="6350"/>
            <wp:wrapTight wrapText="bothSides">
              <wp:wrapPolygon edited="0">
                <wp:start x="0" y="0"/>
                <wp:lineTo x="0" y="21436"/>
                <wp:lineTo x="21472" y="21436"/>
                <wp:lineTo x="21472"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1670050"/>
                    </a:xfrm>
                    <a:prstGeom prst="rect">
                      <a:avLst/>
                    </a:prstGeom>
                    <a:noFill/>
                  </pic:spPr>
                </pic:pic>
              </a:graphicData>
            </a:graphic>
            <wp14:sizeRelH relativeFrom="page">
              <wp14:pctWidth>0</wp14:pctWidth>
            </wp14:sizeRelH>
            <wp14:sizeRelV relativeFrom="page">
              <wp14:pctHeight>0</wp14:pctHeight>
            </wp14:sizeRelV>
          </wp:anchor>
        </w:drawing>
      </w:r>
      <w:r w:rsidRPr="00004734">
        <w:rPr>
          <w:rFonts w:ascii="Arial" w:hAnsi="Arial" w:cs="Arial"/>
          <w:noProof/>
          <w:color w:val="404040" w:themeColor="text1" w:themeTint="BF"/>
          <w:sz w:val="20"/>
          <w:szCs w:val="20"/>
          <w:lang w:val="en-US"/>
        </w:rPr>
        <w:t>3.</w:t>
      </w:r>
      <w:r w:rsidRPr="00004734">
        <w:rPr>
          <w:rFonts w:ascii="Arial" w:hAnsi="Arial" w:cs="Arial"/>
          <w:noProof/>
          <w:color w:val="404040" w:themeColor="text1" w:themeTint="BF"/>
          <w:sz w:val="20"/>
          <w:szCs w:val="20"/>
          <w:lang w:val="en-US"/>
        </w:rPr>
        <w:tab/>
        <w:t>Utilizando la siguiente imagen y complementándola con el primer gráfico, ¿Qué relación se podría establecer entre la cantidad de personas que se realizan el examen o test de ELISA con el aumento en el número de casos de infectados por VIH/SIDA?</w:t>
      </w:r>
    </w:p>
    <w:p w14:paraId="7E6E7056" w14:textId="77777777" w:rsidR="00004734" w:rsidRPr="00004734" w:rsidRDefault="00004734" w:rsidP="00004734">
      <w:p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 xml:space="preserve">En el caso de los varones el mayor porcentaje acude motivado por un sentimiento de riesgo y procurando mayor tranquilidad, de lo cual se podría deducir que se trataría principalmente de relaciones homosexuales o bisexuales. </w:t>
      </w:r>
    </w:p>
    <w:p w14:paraId="6DD8A247" w14:textId="77777777" w:rsidR="00004734" w:rsidRPr="00004734" w:rsidRDefault="00004734" w:rsidP="00004734">
      <w:p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 xml:space="preserve">En el caso de las mujeres, el mayor porcentaje de respuesta se concentra en el control de embarazo, es decir, responde a un examen de rutina que no guarda relación con una acción voluntaria de autocuidado. </w:t>
      </w:r>
    </w:p>
    <w:p w14:paraId="5A49C714" w14:textId="2AD6748E" w:rsidR="00004734" w:rsidRDefault="00004734" w:rsidP="00004734">
      <w:p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Por último, llama la atención que en ambos casos el inicio de una nueva relación muestra el menor porcentaje de respuesta como motivo de aplicación del test. Situación que deja inferir también la falta de hábitos de autocuidado y de educación sexual que gobierna la vida de pareja descuidando no solo el riesgo de contraer VIH, sino también otras infecciones de transmisión sexual.</w:t>
      </w:r>
    </w:p>
    <w:p w14:paraId="08DE7EBD" w14:textId="77777777" w:rsidR="00004734" w:rsidRPr="00004734" w:rsidRDefault="00004734" w:rsidP="00004734">
      <w:pPr>
        <w:spacing w:after="0"/>
        <w:rPr>
          <w:rFonts w:ascii="Arial" w:hAnsi="Arial" w:cs="Arial"/>
          <w:noProof/>
          <w:color w:val="000000" w:themeColor="text1"/>
          <w:sz w:val="20"/>
          <w:szCs w:val="20"/>
          <w:lang w:val="en-US"/>
        </w:rPr>
      </w:pPr>
    </w:p>
    <w:p w14:paraId="76383D18" w14:textId="77777777" w:rsidR="00004734" w:rsidRPr="00004734" w:rsidRDefault="00004734" w:rsidP="00004734">
      <w:pPr>
        <w:spacing w:after="0"/>
        <w:rPr>
          <w:rFonts w:ascii="Arial" w:hAnsi="Arial" w:cs="Arial"/>
          <w:noProof/>
          <w:color w:val="000000" w:themeColor="text1"/>
          <w:sz w:val="20"/>
          <w:szCs w:val="20"/>
          <w:lang w:val="en-US"/>
        </w:rPr>
      </w:pPr>
      <w:r w:rsidRPr="00004734">
        <w:rPr>
          <w:rFonts w:ascii="Arial" w:hAnsi="Arial" w:cs="Arial"/>
          <w:noProof/>
          <w:color w:val="000000" w:themeColor="text1"/>
          <w:sz w:val="20"/>
          <w:szCs w:val="20"/>
          <w:lang w:val="en-US"/>
        </w:rPr>
        <w:t>4.</w:t>
      </w:r>
      <w:r w:rsidRPr="00004734">
        <w:rPr>
          <w:rFonts w:ascii="Arial" w:hAnsi="Arial" w:cs="Arial"/>
          <w:noProof/>
          <w:color w:val="000000" w:themeColor="text1"/>
          <w:sz w:val="20"/>
          <w:szCs w:val="20"/>
          <w:lang w:val="en-US"/>
        </w:rPr>
        <w:tab/>
        <w:t>¿Se puede establecer alguna relación entre el uso de ciertos estimulantes o drogas con el uso del preservativo durante las relaciones sexuales?</w:t>
      </w:r>
    </w:p>
    <w:p w14:paraId="668CBF12" w14:textId="77777777" w:rsidR="00004734" w:rsidRPr="00004734" w:rsidRDefault="00004734" w:rsidP="00004734">
      <w:p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 xml:space="preserve">El consumo de ciertos estimulantes y drogas con el uso del preservativo, es considerado un factor importante de riesgo para contraer el VIH/SIDA, primero por compartir los utensilios que se usan para inyectar drogas y segundo el no poder tomar decisiones sensatas lo cual puede terminar en comportamientos sexuales riesgosos y la transmisión del VIH. </w:t>
      </w:r>
    </w:p>
    <w:p w14:paraId="408B1165" w14:textId="77777777" w:rsidR="00004734" w:rsidRPr="00004734" w:rsidRDefault="00004734" w:rsidP="00004734">
      <w:pPr>
        <w:spacing w:after="0"/>
        <w:rPr>
          <w:rFonts w:ascii="Arial" w:hAnsi="Arial" w:cs="Arial"/>
          <w:noProof/>
          <w:color w:val="FF0000"/>
          <w:sz w:val="20"/>
          <w:szCs w:val="20"/>
          <w:lang w:val="en-US"/>
        </w:rPr>
      </w:pPr>
    </w:p>
    <w:p w14:paraId="5630EC8D" w14:textId="77777777" w:rsidR="00004734" w:rsidRPr="00004734" w:rsidRDefault="00004734" w:rsidP="00004734">
      <w:pPr>
        <w:spacing w:after="0"/>
        <w:rPr>
          <w:rFonts w:ascii="Arial" w:hAnsi="Arial" w:cs="Arial"/>
          <w:noProof/>
          <w:color w:val="000000" w:themeColor="text1"/>
          <w:sz w:val="20"/>
          <w:szCs w:val="20"/>
          <w:lang w:val="en-US"/>
        </w:rPr>
      </w:pPr>
      <w:r w:rsidRPr="00004734">
        <w:rPr>
          <w:rFonts w:ascii="Arial" w:hAnsi="Arial" w:cs="Arial"/>
          <w:noProof/>
          <w:color w:val="000000" w:themeColor="text1"/>
          <w:sz w:val="20"/>
          <w:szCs w:val="20"/>
          <w:lang w:val="en-US"/>
        </w:rPr>
        <w:t>5.</w:t>
      </w:r>
      <w:r w:rsidRPr="00004734">
        <w:rPr>
          <w:rFonts w:ascii="Arial" w:hAnsi="Arial" w:cs="Arial"/>
          <w:noProof/>
          <w:color w:val="000000" w:themeColor="text1"/>
          <w:sz w:val="20"/>
          <w:szCs w:val="20"/>
          <w:lang w:val="en-US"/>
        </w:rPr>
        <w:tab/>
        <w:t>¿Existe relación entre la población migrante y el aumento en el número de contagios de VIH/SIDA en nuestro país?</w:t>
      </w:r>
    </w:p>
    <w:p w14:paraId="2DEFB56A" w14:textId="77777777" w:rsidR="00004734" w:rsidRPr="00004734" w:rsidRDefault="00004734" w:rsidP="00004734">
      <w:p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La relación que se establece entre estas dos variables es que la población migrante presenta mayores barreras para acceder al sistema de salud pública y, por ende, a ciertas medidas de prevención, diagnóstico y tratamiento oportuno.</w:t>
      </w:r>
    </w:p>
    <w:p w14:paraId="600F7554" w14:textId="77777777" w:rsidR="00004734" w:rsidRPr="00004734" w:rsidRDefault="00004734" w:rsidP="00004734">
      <w:pPr>
        <w:spacing w:after="0"/>
        <w:rPr>
          <w:rFonts w:ascii="Arial" w:hAnsi="Arial" w:cs="Arial"/>
          <w:noProof/>
          <w:color w:val="FF0000"/>
          <w:sz w:val="20"/>
          <w:szCs w:val="20"/>
          <w:lang w:val="en-US"/>
        </w:rPr>
      </w:pPr>
    </w:p>
    <w:p w14:paraId="4C14FED7" w14:textId="77777777" w:rsidR="00004734" w:rsidRPr="00004734" w:rsidRDefault="00004734" w:rsidP="00004734">
      <w:pPr>
        <w:spacing w:after="0"/>
        <w:rPr>
          <w:rFonts w:ascii="Arial" w:hAnsi="Arial" w:cs="Arial"/>
          <w:noProof/>
          <w:color w:val="000000" w:themeColor="text1"/>
          <w:sz w:val="20"/>
          <w:szCs w:val="20"/>
          <w:lang w:val="en-US"/>
        </w:rPr>
      </w:pPr>
      <w:r w:rsidRPr="00004734">
        <w:rPr>
          <w:rFonts w:ascii="Arial" w:hAnsi="Arial" w:cs="Arial"/>
          <w:noProof/>
          <w:color w:val="000000" w:themeColor="text1"/>
          <w:sz w:val="20"/>
          <w:szCs w:val="20"/>
          <w:lang w:val="en-US"/>
        </w:rPr>
        <w:t>6.</w:t>
      </w:r>
      <w:r w:rsidRPr="00004734">
        <w:rPr>
          <w:rFonts w:ascii="Arial" w:hAnsi="Arial" w:cs="Arial"/>
          <w:noProof/>
          <w:color w:val="000000" w:themeColor="text1"/>
          <w:sz w:val="20"/>
          <w:szCs w:val="20"/>
          <w:lang w:val="en-US"/>
        </w:rPr>
        <w:tab/>
        <w:t xml:space="preserve">¿Qué importancia se le asigna al uso del preservativo para evitar un contagio por VIH/SIDA u otra ITS? </w:t>
      </w:r>
    </w:p>
    <w:p w14:paraId="5C816A73" w14:textId="77777777" w:rsidR="00004734" w:rsidRPr="00004734" w:rsidRDefault="00004734" w:rsidP="00004734">
      <w:p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Es el único método que previene totalmente el contagio contra el VIH/SIDA y otras infecciones. Sin embargo, no previene contra el contagio de VPH.</w:t>
      </w:r>
    </w:p>
    <w:p w14:paraId="6BDDB0A4" w14:textId="77777777" w:rsidR="00004734" w:rsidRPr="00004734" w:rsidRDefault="00004734" w:rsidP="00004734">
      <w:pPr>
        <w:spacing w:after="0"/>
        <w:rPr>
          <w:rFonts w:ascii="Arial" w:hAnsi="Arial" w:cs="Arial"/>
          <w:noProof/>
          <w:color w:val="FF0000"/>
          <w:sz w:val="20"/>
          <w:szCs w:val="20"/>
          <w:lang w:val="en-US"/>
        </w:rPr>
      </w:pPr>
    </w:p>
    <w:p w14:paraId="32CE6EE0" w14:textId="77777777" w:rsidR="00004734" w:rsidRPr="00004734" w:rsidRDefault="00004734" w:rsidP="00004734">
      <w:pPr>
        <w:spacing w:after="0"/>
        <w:rPr>
          <w:rFonts w:ascii="Arial" w:hAnsi="Arial" w:cs="Arial"/>
          <w:noProof/>
          <w:color w:val="000000" w:themeColor="text1"/>
          <w:sz w:val="20"/>
          <w:szCs w:val="20"/>
          <w:lang w:val="en-US"/>
        </w:rPr>
      </w:pPr>
      <w:r w:rsidRPr="00004734">
        <w:rPr>
          <w:rFonts w:ascii="Arial" w:hAnsi="Arial" w:cs="Arial"/>
          <w:noProof/>
          <w:color w:val="000000" w:themeColor="text1"/>
          <w:sz w:val="20"/>
          <w:szCs w:val="20"/>
          <w:lang w:val="en-US"/>
        </w:rPr>
        <w:t>7.</w:t>
      </w:r>
      <w:r w:rsidRPr="00004734">
        <w:rPr>
          <w:rFonts w:ascii="Arial" w:hAnsi="Arial" w:cs="Arial"/>
          <w:noProof/>
          <w:color w:val="000000" w:themeColor="text1"/>
          <w:sz w:val="20"/>
          <w:szCs w:val="20"/>
          <w:lang w:val="en-US"/>
        </w:rPr>
        <w:tab/>
        <w:t>¿De qué manera se podría disminuir el número de personas contagiadas por VIH/SIDA en nuestro país? ¿Qué tipo de estrategias o medidas son necesarias para aplicar y para colocar en práctica en nuestro país?</w:t>
      </w:r>
    </w:p>
    <w:p w14:paraId="34806569" w14:textId="77777777" w:rsidR="00004734" w:rsidRPr="00004734" w:rsidRDefault="00004734" w:rsidP="00004734">
      <w:p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Algunas de las estrategias para la disminución de personas contagiadas por VIH/SIDA serían:</w:t>
      </w:r>
    </w:p>
    <w:p w14:paraId="610D9148" w14:textId="77777777" w:rsidR="00004734" w:rsidRPr="00004734" w:rsidRDefault="00004734" w:rsidP="00004734">
      <w:pPr>
        <w:pStyle w:val="Prrafodelista"/>
        <w:numPr>
          <w:ilvl w:val="0"/>
          <w:numId w:val="13"/>
        </w:num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Reforzar la importancia del uso de preservativo para evitar el contagio de ITS.</w:t>
      </w:r>
    </w:p>
    <w:p w14:paraId="725741EB" w14:textId="77777777" w:rsidR="00004734" w:rsidRPr="00004734" w:rsidRDefault="00004734" w:rsidP="00004734">
      <w:pPr>
        <w:pStyle w:val="Prrafodelista"/>
        <w:numPr>
          <w:ilvl w:val="0"/>
          <w:numId w:val="13"/>
        </w:num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Realizar test rápido y gratuito a la población. Comercialización del test rápido de detección del VIH en farmacias y dispensadores de libre acceso. Evitar la burocratización del test en servicios médicos.</w:t>
      </w:r>
    </w:p>
    <w:p w14:paraId="7B697BE4" w14:textId="77777777" w:rsidR="00004734" w:rsidRPr="00004734" w:rsidRDefault="00004734" w:rsidP="00004734">
      <w:pPr>
        <w:pStyle w:val="Prrafodelista"/>
        <w:numPr>
          <w:ilvl w:val="0"/>
          <w:numId w:val="13"/>
        </w:num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Reforzar nuevas tecnologías de prevención como es el método profiláctico de pre-exposición y post-exposición.</w:t>
      </w:r>
    </w:p>
    <w:p w14:paraId="5AB0D9EC" w14:textId="18C2C5CD" w:rsidR="00004734" w:rsidRPr="00004734" w:rsidRDefault="00004734" w:rsidP="00004734">
      <w:pPr>
        <w:pStyle w:val="Prrafodelista"/>
        <w:numPr>
          <w:ilvl w:val="0"/>
          <w:numId w:val="13"/>
        </w:numPr>
        <w:spacing w:after="0"/>
        <w:rPr>
          <w:rFonts w:ascii="Arial" w:hAnsi="Arial" w:cs="Arial"/>
          <w:i/>
          <w:noProof/>
          <w:color w:val="FF0000"/>
          <w:sz w:val="20"/>
          <w:szCs w:val="20"/>
          <w:lang w:val="en-US"/>
        </w:rPr>
      </w:pPr>
      <w:r w:rsidRPr="00004734">
        <w:rPr>
          <w:rFonts w:ascii="Arial" w:hAnsi="Arial" w:cs="Arial"/>
          <w:i/>
          <w:noProof/>
          <w:color w:val="FF0000"/>
          <w:sz w:val="20"/>
          <w:szCs w:val="20"/>
          <w:lang w:val="en-US"/>
        </w:rPr>
        <w:t>Continuidad de la terapia antirretroviral, también conocida como TAR, que no cura la enfermedad, pero sí reduce la carga viral en el cuerpo, mejorando la calidad de vida de la persona. Este proceso es clave, porque incluso en aquellos casos de mujeres embarazadas puede reducir el riesgo de propagación perinatal, ya sea durante el período de embarazo, del parto o de lactancia.</w:t>
      </w:r>
    </w:p>
    <w:p w14:paraId="6EEEDE60" w14:textId="2CBB950D" w:rsidR="00004734" w:rsidRPr="00004734" w:rsidRDefault="00004734" w:rsidP="00004734">
      <w:pPr>
        <w:spacing w:after="0"/>
        <w:rPr>
          <w:rFonts w:ascii="Arial" w:hAnsi="Arial" w:cs="Arial"/>
          <w:noProof/>
          <w:color w:val="404040" w:themeColor="text1" w:themeTint="BF"/>
          <w:sz w:val="20"/>
          <w:szCs w:val="20"/>
          <w:lang w:val="en-US"/>
        </w:rPr>
      </w:pPr>
    </w:p>
    <w:sectPr w:rsidR="00004734" w:rsidRPr="00004734" w:rsidSect="00494FFD">
      <w:headerReference w:type="even" r:id="rId10"/>
      <w:headerReference w:type="default" r:id="rId11"/>
      <w:footerReference w:type="even" r:id="rId12"/>
      <w:footerReference w:type="default" r:id="rId13"/>
      <w:headerReference w:type="first" r:id="rId14"/>
      <w:footerReference w:type="first" r:id="rId15"/>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2E33E" w14:textId="77777777" w:rsidR="0085451C" w:rsidRDefault="0085451C" w:rsidP="00BD016A">
      <w:pPr>
        <w:spacing w:after="0" w:line="240" w:lineRule="auto"/>
      </w:pPr>
      <w:r>
        <w:separator/>
      </w:r>
    </w:p>
  </w:endnote>
  <w:endnote w:type="continuationSeparator" w:id="0">
    <w:p w14:paraId="31983D0F" w14:textId="77777777" w:rsidR="0085451C" w:rsidRDefault="0085451C"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BA195" w14:textId="77777777" w:rsidR="002F2C05" w:rsidRDefault="002F2C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E722E" w14:textId="77777777" w:rsidR="002F2C05" w:rsidRDefault="002F2C0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9E6ED" w14:textId="77777777" w:rsidR="002F2C05" w:rsidRDefault="002F2C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5153B" w14:textId="77777777" w:rsidR="0085451C" w:rsidRDefault="0085451C" w:rsidP="00BD016A">
      <w:pPr>
        <w:spacing w:after="0" w:line="240" w:lineRule="auto"/>
      </w:pPr>
      <w:r>
        <w:separator/>
      </w:r>
    </w:p>
  </w:footnote>
  <w:footnote w:type="continuationSeparator" w:id="0">
    <w:p w14:paraId="3C3D044C" w14:textId="77777777" w:rsidR="0085451C" w:rsidRDefault="0085451C"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67026A" w:rsidRDefault="0067026A">
    <w:pPr>
      <w:pStyle w:val="Encabezado"/>
    </w:pPr>
    <w:r>
      <w:rPr>
        <w:noProof/>
        <w:u w:val="single"/>
        <w:lang w:val="en-U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9E08D"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67026A" w:rsidRPr="00494FFD" w:rsidRDefault="009C07D2" w:rsidP="00494FFD">
    <w:pPr>
      <w:pStyle w:val="Encabezado"/>
      <w:rPr>
        <w:sz w:val="32"/>
        <w:szCs w:val="32"/>
      </w:rPr>
    </w:pPr>
    <w:r>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63AC5778"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AF0756">
                            <w:rPr>
                              <w:rFonts w:ascii="Arial" w:hAnsi="Arial" w:cs="Arial"/>
                              <w:b/>
                              <w:color w:val="404040" w:themeColor="text1" w:themeTint="BF"/>
                              <w:sz w:val="20"/>
                              <w:szCs w:val="20"/>
                            </w:rPr>
                            <w:t>Biología</w:t>
                          </w:r>
                          <w:r w:rsidR="009C07D2">
                            <w:rPr>
                              <w:rFonts w:ascii="Arial" w:hAnsi="Arial" w:cs="Arial"/>
                              <w:b/>
                              <w:color w:val="404040" w:themeColor="text1" w:themeTint="BF"/>
                              <w:sz w:val="20"/>
                              <w:szCs w:val="20"/>
                            </w:rPr>
                            <w:t xml:space="preserve"> </w:t>
                          </w:r>
                          <w:r w:rsidR="00C03FFE">
                            <w:rPr>
                              <w:rFonts w:ascii="Arial" w:hAnsi="Arial" w:cs="Arial"/>
                              <w:b/>
                              <w:color w:val="404040" w:themeColor="text1" w:themeTint="BF"/>
                              <w:sz w:val="20"/>
                              <w:szCs w:val="20"/>
                            </w:rPr>
                            <w:t>2</w:t>
                          </w:r>
                          <w:r>
                            <w:rPr>
                              <w:rFonts w:ascii="Arial" w:hAnsi="Arial" w:cs="Arial"/>
                              <w:b/>
                              <w:color w:val="404040" w:themeColor="text1" w:themeTint="BF"/>
                              <w:sz w:val="20"/>
                              <w:szCs w:val="20"/>
                            </w:rPr>
                            <w:t xml:space="preserve">º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2F2C05">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C03FFE">
                            <w:rPr>
                              <w:rFonts w:ascii="Arial" w:hAnsi="Arial" w:cs="Arial"/>
                              <w:b/>
                              <w:color w:val="FFFFFF" w:themeColor="background1"/>
                              <w:sz w:val="20"/>
                              <w:szCs w:val="20"/>
                            </w:rPr>
                            <w:t xml:space="preserve"> </w:t>
                          </w:r>
                          <w:r w:rsidR="002F2C05">
                            <w:rPr>
                              <w:rFonts w:ascii="Arial" w:hAnsi="Arial" w:cs="Arial"/>
                              <w:b/>
                              <w:color w:val="FFFFFF" w:themeColor="background1"/>
                              <w:sz w:val="20"/>
                              <w:szCs w:val="20"/>
                            </w:rPr>
                            <w:t>5</w:t>
                          </w:r>
                          <w:bookmarkStart w:id="0" w:name="_GoBack"/>
                          <w:bookmarkEnd w:id="0"/>
                          <w:r w:rsidRPr="0067026A">
                            <w:rPr>
                              <w:rFonts w:ascii="Arial" w:hAnsi="Arial" w:cs="Arial"/>
                              <w:b/>
                              <w:color w:val="FFFFFF" w:themeColor="background1"/>
                              <w:sz w:val="20"/>
                              <w:szCs w:val="20"/>
                            </w:rPr>
                            <w:t xml:space="preserve">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63AC5778"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AF0756">
                      <w:rPr>
                        <w:rFonts w:ascii="Arial" w:hAnsi="Arial" w:cs="Arial"/>
                        <w:b/>
                        <w:color w:val="404040" w:themeColor="text1" w:themeTint="BF"/>
                        <w:sz w:val="20"/>
                        <w:szCs w:val="20"/>
                      </w:rPr>
                      <w:t>Biología</w:t>
                    </w:r>
                    <w:r w:rsidR="009C07D2">
                      <w:rPr>
                        <w:rFonts w:ascii="Arial" w:hAnsi="Arial" w:cs="Arial"/>
                        <w:b/>
                        <w:color w:val="404040" w:themeColor="text1" w:themeTint="BF"/>
                        <w:sz w:val="20"/>
                        <w:szCs w:val="20"/>
                      </w:rPr>
                      <w:t xml:space="preserve"> </w:t>
                    </w:r>
                    <w:r w:rsidR="00C03FFE">
                      <w:rPr>
                        <w:rFonts w:ascii="Arial" w:hAnsi="Arial" w:cs="Arial"/>
                        <w:b/>
                        <w:color w:val="404040" w:themeColor="text1" w:themeTint="BF"/>
                        <w:sz w:val="20"/>
                        <w:szCs w:val="20"/>
                      </w:rPr>
                      <w:t>2</w:t>
                    </w:r>
                    <w:r>
                      <w:rPr>
                        <w:rFonts w:ascii="Arial" w:hAnsi="Arial" w:cs="Arial"/>
                        <w:b/>
                        <w:color w:val="404040" w:themeColor="text1" w:themeTint="BF"/>
                        <w:sz w:val="20"/>
                        <w:szCs w:val="20"/>
                      </w:rPr>
                      <w:t xml:space="preserve">º </w:t>
                    </w:r>
                    <w:r w:rsidR="009C07D2">
                      <w:rPr>
                        <w:rFonts w:ascii="Arial" w:hAnsi="Arial" w:cs="Arial"/>
                        <w:b/>
                        <w:color w:val="404040" w:themeColor="text1" w:themeTint="BF"/>
                        <w:sz w:val="20"/>
                        <w:szCs w:val="20"/>
                      </w:rPr>
                      <w:t>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2F2C05">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C03FFE">
                      <w:rPr>
                        <w:rFonts w:ascii="Arial" w:hAnsi="Arial" w:cs="Arial"/>
                        <w:b/>
                        <w:color w:val="FFFFFF" w:themeColor="background1"/>
                        <w:sz w:val="20"/>
                        <w:szCs w:val="20"/>
                      </w:rPr>
                      <w:t xml:space="preserve"> </w:t>
                    </w:r>
                    <w:r w:rsidR="002F2C05">
                      <w:rPr>
                        <w:rFonts w:ascii="Arial" w:hAnsi="Arial" w:cs="Arial"/>
                        <w:b/>
                        <w:color w:val="FFFFFF" w:themeColor="background1"/>
                        <w:sz w:val="20"/>
                        <w:szCs w:val="20"/>
                      </w:rPr>
                      <w:t>5</w:t>
                    </w:r>
                    <w:bookmarkStart w:id="1" w:name="_GoBack"/>
                    <w:bookmarkEnd w:id="1"/>
                    <w:r w:rsidRPr="0067026A">
                      <w:rPr>
                        <w:rFonts w:ascii="Arial" w:hAnsi="Arial" w:cs="Arial"/>
                        <w:b/>
                        <w:color w:val="FFFFFF" w:themeColor="background1"/>
                        <w:sz w:val="20"/>
                        <w:szCs w:val="20"/>
                      </w:rPr>
                      <w:t xml:space="preserve"> </w:t>
                    </w:r>
                  </w:p>
                </w:txbxContent>
              </v:textbox>
            </v:shape>
          </w:pict>
        </mc:Fallback>
      </mc:AlternateContent>
    </w:r>
    <w:r w:rsidR="00310A3B">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0067026A" w:rsidRPr="0003100C">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48EEF"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val="en-US"/>
      </w:rPr>
      <mc:AlternateContent>
        <mc:Choice Requires="wps">
          <w:drawing>
            <wp:anchor distT="0" distB="0" distL="114300" distR="114300" simplePos="0" relativeHeight="251672576" behindDoc="0" locked="0" layoutInCell="1" allowOverlap="1" wp14:anchorId="5872AFFE" wp14:editId="45A3A7E2">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867E062"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val="en-US"/>
      </w:rPr>
      <mc:AlternateContent>
        <mc:Choice Requires="wps">
          <w:drawing>
            <wp:anchor distT="0" distB="0" distL="114300" distR="114300" simplePos="0" relativeHeight="251668480" behindDoc="0" locked="0" layoutInCell="1" allowOverlap="1" wp14:anchorId="26F31A89" wp14:editId="5F9080A2">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492788A1"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color w:val="4D4D4D"/>
                              <w:kern w:val="36"/>
                              <w:sz w:val="46"/>
                              <w:szCs w:val="46"/>
                              <w:lang w:val="es-ES_tradnl"/>
                            </w:rPr>
                            <w:t xml:space="preserve">Unidad </w:t>
                          </w:r>
                          <w:r w:rsidR="00004734">
                            <w:rPr>
                              <w:rFonts w:ascii="Arial" w:eastAsia="Times New Roman" w:hAnsi="Arial" w:cs="Arial"/>
                              <w:color w:val="4D4D4D"/>
                              <w:kern w:val="36"/>
                              <w:sz w:val="46"/>
                              <w:szCs w:val="46"/>
                              <w:lang w:val="es-ES_tradnl"/>
                            </w:rPr>
                            <w:t>2</w:t>
                          </w:r>
                          <w:r w:rsidRPr="00176A66">
                            <w:rPr>
                              <w:rFonts w:ascii="Arial" w:eastAsia="Times New Roman" w:hAnsi="Arial" w:cs="Arial"/>
                              <w:color w:val="4D4D4D"/>
                              <w:kern w:val="36"/>
                              <w:sz w:val="46"/>
                              <w:szCs w:val="46"/>
                              <w:lang w:val="es-ES_tradnl"/>
                            </w:rPr>
                            <w:t xml:space="preserve"> </w:t>
                          </w:r>
                        </w:p>
                        <w:p w14:paraId="0CD46D44" w14:textId="0A3317EB" w:rsidR="0067026A" w:rsidRPr="00176A66" w:rsidRDefault="00C13FAE" w:rsidP="00EF121F">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 xml:space="preserve">OA </w:t>
                          </w:r>
                          <w:r w:rsidR="00004734">
                            <w:rPr>
                              <w:rFonts w:ascii="Arial" w:eastAsia="Times New Roman" w:hAnsi="Arial" w:cs="Arial"/>
                              <w:b/>
                              <w:color w:val="00C181"/>
                              <w:kern w:val="36"/>
                              <w:sz w:val="46"/>
                              <w:szCs w:val="46"/>
                              <w:lang w:val="es-ES_tradnl"/>
                            </w:rPr>
                            <w:t>5</w:t>
                          </w:r>
                          <w:r w:rsidR="0067026A" w:rsidRPr="00176A66">
                            <w:rPr>
                              <w:rFonts w:ascii="Arial" w:eastAsia="Times New Roman" w:hAnsi="Arial" w:cs="Arial"/>
                              <w:color w:val="4D4D4D"/>
                              <w:kern w:val="36"/>
                              <w:sz w:val="46"/>
                              <w:szCs w:val="46"/>
                              <w:lang w:val="es-ES_tradnl"/>
                            </w:rPr>
                            <w:t xml:space="preserve">  </w:t>
                          </w:r>
                        </w:p>
                        <w:p w14:paraId="4C709262" w14:textId="495D4837" w:rsidR="0067026A" w:rsidRPr="00176A66" w:rsidRDefault="00004734"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Evaluación</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" filled="f" stroked="f">
              <v:textbox>
                <w:txbxContent>
                  <w:p w14:paraId="1C69404C" w14:textId="492788A1"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color w:val="4D4D4D"/>
                        <w:kern w:val="36"/>
                        <w:sz w:val="46"/>
                        <w:szCs w:val="46"/>
                        <w:lang w:val="es-ES_tradnl"/>
                      </w:rPr>
                      <w:t xml:space="preserve">Unidad </w:t>
                    </w:r>
                    <w:r w:rsidR="00004734">
                      <w:rPr>
                        <w:rFonts w:ascii="Arial" w:eastAsia="Times New Roman" w:hAnsi="Arial" w:cs="Arial"/>
                        <w:color w:val="4D4D4D"/>
                        <w:kern w:val="36"/>
                        <w:sz w:val="46"/>
                        <w:szCs w:val="46"/>
                        <w:lang w:val="es-ES_tradnl"/>
                      </w:rPr>
                      <w:t>2</w:t>
                    </w:r>
                    <w:r w:rsidRPr="00176A66">
                      <w:rPr>
                        <w:rFonts w:ascii="Arial" w:eastAsia="Times New Roman" w:hAnsi="Arial" w:cs="Arial"/>
                        <w:color w:val="4D4D4D"/>
                        <w:kern w:val="36"/>
                        <w:sz w:val="46"/>
                        <w:szCs w:val="46"/>
                        <w:lang w:val="es-ES_tradnl"/>
                      </w:rPr>
                      <w:t xml:space="preserve"> </w:t>
                    </w:r>
                  </w:p>
                  <w:p w14:paraId="0CD46D44" w14:textId="0A3317EB" w:rsidR="0067026A" w:rsidRPr="00176A66" w:rsidRDefault="00C13FAE" w:rsidP="00EF121F">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b/>
                        <w:color w:val="00C181"/>
                        <w:kern w:val="36"/>
                        <w:sz w:val="46"/>
                        <w:szCs w:val="46"/>
                        <w:lang w:val="es-ES_tradnl"/>
                      </w:rPr>
                      <w:t xml:space="preserve">OA </w:t>
                    </w:r>
                    <w:r w:rsidR="00004734">
                      <w:rPr>
                        <w:rFonts w:ascii="Arial" w:eastAsia="Times New Roman" w:hAnsi="Arial" w:cs="Arial"/>
                        <w:b/>
                        <w:color w:val="00C181"/>
                        <w:kern w:val="36"/>
                        <w:sz w:val="46"/>
                        <w:szCs w:val="46"/>
                        <w:lang w:val="es-ES_tradnl"/>
                      </w:rPr>
                      <w:t>5</w:t>
                    </w:r>
                    <w:r w:rsidR="0067026A" w:rsidRPr="00176A66">
                      <w:rPr>
                        <w:rFonts w:ascii="Arial" w:eastAsia="Times New Roman" w:hAnsi="Arial" w:cs="Arial"/>
                        <w:color w:val="4D4D4D"/>
                        <w:kern w:val="36"/>
                        <w:sz w:val="46"/>
                        <w:szCs w:val="46"/>
                        <w:lang w:val="es-ES_tradnl"/>
                      </w:rPr>
                      <w:t xml:space="preserve">  </w:t>
                    </w:r>
                  </w:p>
                  <w:p w14:paraId="4C709262" w14:textId="495D4837" w:rsidR="0067026A" w:rsidRPr="00176A66" w:rsidRDefault="00004734"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Evaluación</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val="en-US"/>
      </w:rPr>
      <mc:AlternateContent>
        <mc:Choice Requires="wps">
          <w:drawing>
            <wp:anchor distT="0" distB="0" distL="114300" distR="114300" simplePos="0" relativeHeight="251667456" behindDoc="0" locked="0" layoutInCell="1" allowOverlap="1" wp14:anchorId="3C5445BE" wp14:editId="6EF578A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28226F"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n-US"/>
      </w:rPr>
      <mc:AlternateContent>
        <mc:Choice Requires="wps">
          <w:drawing>
            <wp:anchor distT="0" distB="0" distL="114300" distR="114300" simplePos="0" relativeHeight="251663360" behindDoc="0" locked="0" layoutInCell="1" allowOverlap="1" wp14:anchorId="2F8DA03A" wp14:editId="1636B83A">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FB90F"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3BBAFE13" w:rsidR="0067026A" w:rsidRDefault="00F93D64"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Biología</w:t>
    </w:r>
    <w:r w:rsidR="00DA0FF8">
      <w:rPr>
        <w:rFonts w:ascii="Arial" w:hAnsi="Arial" w:cs="Arial"/>
        <w:b/>
        <w:color w:val="595959" w:themeColor="text1" w:themeTint="A6"/>
        <w:sz w:val="44"/>
        <w:szCs w:val="44"/>
      </w:rPr>
      <w:t xml:space="preserve"> </w:t>
    </w:r>
    <w:r w:rsidR="00F332EB">
      <w:rPr>
        <w:rFonts w:ascii="Arial" w:hAnsi="Arial" w:cs="Arial"/>
        <w:b/>
        <w:color w:val="595959" w:themeColor="text1" w:themeTint="A6"/>
        <w:sz w:val="44"/>
        <w:szCs w:val="44"/>
      </w:rPr>
      <w:t>2</w:t>
    </w:r>
    <w:r w:rsidR="0067026A" w:rsidRPr="00176A66">
      <w:rPr>
        <w:rFonts w:ascii="Arial" w:hAnsi="Arial" w:cs="Arial"/>
        <w:b/>
        <w:color w:val="595959" w:themeColor="text1" w:themeTint="A6"/>
        <w:sz w:val="44"/>
        <w:szCs w:val="44"/>
      </w:rPr>
      <w:t xml:space="preserve">º </w:t>
    </w:r>
    <w:r w:rsidR="00EF121F">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2F51"/>
    <w:multiLevelType w:val="hybridMultilevel"/>
    <w:tmpl w:val="D236D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3" w15:restartNumberingAfterBreak="0">
    <w:nsid w:val="1DDA6ED2"/>
    <w:multiLevelType w:val="hybridMultilevel"/>
    <w:tmpl w:val="714E5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7" w15:restartNumberingAfterBreak="0">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0B2BD4"/>
    <w:multiLevelType w:val="hybridMultilevel"/>
    <w:tmpl w:val="C6C61F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9F5CAC"/>
    <w:multiLevelType w:val="hybridMultilevel"/>
    <w:tmpl w:val="1FA2D5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A17B71"/>
    <w:multiLevelType w:val="hybridMultilevel"/>
    <w:tmpl w:val="DDB6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6"/>
  </w:num>
  <w:num w:numId="5">
    <w:abstractNumId w:val="10"/>
  </w:num>
  <w:num w:numId="6">
    <w:abstractNumId w:val="4"/>
  </w:num>
  <w:num w:numId="7">
    <w:abstractNumId w:val="7"/>
  </w:num>
  <w:num w:numId="8">
    <w:abstractNumId w:val="1"/>
  </w:num>
  <w:num w:numId="9">
    <w:abstractNumId w:val="11"/>
  </w:num>
  <w:num w:numId="10">
    <w:abstractNumId w:val="8"/>
  </w:num>
  <w:num w:numId="11">
    <w:abstractNumId w:val="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04734"/>
    <w:rsid w:val="00014174"/>
    <w:rsid w:val="0003100C"/>
    <w:rsid w:val="00037F4A"/>
    <w:rsid w:val="00053491"/>
    <w:rsid w:val="00054A41"/>
    <w:rsid w:val="00081427"/>
    <w:rsid w:val="000F65D9"/>
    <w:rsid w:val="001476EB"/>
    <w:rsid w:val="00176A66"/>
    <w:rsid w:val="001E21DE"/>
    <w:rsid w:val="002A091C"/>
    <w:rsid w:val="002A576A"/>
    <w:rsid w:val="002B0273"/>
    <w:rsid w:val="002B60E4"/>
    <w:rsid w:val="002F2C05"/>
    <w:rsid w:val="002F51A2"/>
    <w:rsid w:val="00310A3B"/>
    <w:rsid w:val="0032356E"/>
    <w:rsid w:val="003564EB"/>
    <w:rsid w:val="00365C21"/>
    <w:rsid w:val="003B2AA0"/>
    <w:rsid w:val="003D2118"/>
    <w:rsid w:val="00423041"/>
    <w:rsid w:val="004356BD"/>
    <w:rsid w:val="00451583"/>
    <w:rsid w:val="00494FFD"/>
    <w:rsid w:val="004A6EC1"/>
    <w:rsid w:val="004D0CC0"/>
    <w:rsid w:val="00507387"/>
    <w:rsid w:val="00513AA4"/>
    <w:rsid w:val="00530A6C"/>
    <w:rsid w:val="005477E6"/>
    <w:rsid w:val="00560226"/>
    <w:rsid w:val="00572DF0"/>
    <w:rsid w:val="00576632"/>
    <w:rsid w:val="0058005A"/>
    <w:rsid w:val="005870C0"/>
    <w:rsid w:val="005959C4"/>
    <w:rsid w:val="005D0D72"/>
    <w:rsid w:val="005E7158"/>
    <w:rsid w:val="006648E4"/>
    <w:rsid w:val="0067026A"/>
    <w:rsid w:val="00680401"/>
    <w:rsid w:val="00722314"/>
    <w:rsid w:val="007359D5"/>
    <w:rsid w:val="0073704D"/>
    <w:rsid w:val="0073736E"/>
    <w:rsid w:val="00751521"/>
    <w:rsid w:val="0076250D"/>
    <w:rsid w:val="007A0741"/>
    <w:rsid w:val="007A4A85"/>
    <w:rsid w:val="007D50B9"/>
    <w:rsid w:val="007E504F"/>
    <w:rsid w:val="008240A5"/>
    <w:rsid w:val="00840C39"/>
    <w:rsid w:val="00841160"/>
    <w:rsid w:val="0085451C"/>
    <w:rsid w:val="00855194"/>
    <w:rsid w:val="00874E3C"/>
    <w:rsid w:val="0087605B"/>
    <w:rsid w:val="00877859"/>
    <w:rsid w:val="00884D06"/>
    <w:rsid w:val="008876DB"/>
    <w:rsid w:val="0089135B"/>
    <w:rsid w:val="008B52ED"/>
    <w:rsid w:val="008E1202"/>
    <w:rsid w:val="0092739C"/>
    <w:rsid w:val="00967CA6"/>
    <w:rsid w:val="00984CD1"/>
    <w:rsid w:val="009941B9"/>
    <w:rsid w:val="009A1A03"/>
    <w:rsid w:val="009A62A3"/>
    <w:rsid w:val="009C07D2"/>
    <w:rsid w:val="009C1707"/>
    <w:rsid w:val="00A367F9"/>
    <w:rsid w:val="00A61040"/>
    <w:rsid w:val="00A907BB"/>
    <w:rsid w:val="00AB37EC"/>
    <w:rsid w:val="00AF0756"/>
    <w:rsid w:val="00AF1B76"/>
    <w:rsid w:val="00AF5CBC"/>
    <w:rsid w:val="00B45B12"/>
    <w:rsid w:val="00B942E7"/>
    <w:rsid w:val="00B97D85"/>
    <w:rsid w:val="00BA517F"/>
    <w:rsid w:val="00BB6002"/>
    <w:rsid w:val="00BD016A"/>
    <w:rsid w:val="00C03FFE"/>
    <w:rsid w:val="00C109A8"/>
    <w:rsid w:val="00C13C7D"/>
    <w:rsid w:val="00C13FAE"/>
    <w:rsid w:val="00C14B02"/>
    <w:rsid w:val="00C33F4C"/>
    <w:rsid w:val="00C42011"/>
    <w:rsid w:val="00C57502"/>
    <w:rsid w:val="00CA0411"/>
    <w:rsid w:val="00CA1C2D"/>
    <w:rsid w:val="00D10971"/>
    <w:rsid w:val="00D3399C"/>
    <w:rsid w:val="00D52484"/>
    <w:rsid w:val="00DA0FF8"/>
    <w:rsid w:val="00DC2FBC"/>
    <w:rsid w:val="00DD41F3"/>
    <w:rsid w:val="00E5135D"/>
    <w:rsid w:val="00E745BE"/>
    <w:rsid w:val="00EB0BD4"/>
    <w:rsid w:val="00EE0F12"/>
    <w:rsid w:val="00EF121F"/>
    <w:rsid w:val="00F13618"/>
    <w:rsid w:val="00F239F4"/>
    <w:rsid w:val="00F3255A"/>
    <w:rsid w:val="00F332EB"/>
    <w:rsid w:val="00F42F87"/>
    <w:rsid w:val="00F45BCA"/>
    <w:rsid w:val="00F46B5E"/>
    <w:rsid w:val="00F804B6"/>
    <w:rsid w:val="00F93D64"/>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40E5C3"/>
  <w15:docId w15:val="{5F9DE0A7-6ADB-4457-8B09-1ABFB94F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Hipervnculo">
    <w:name w:val="Hyperlink"/>
    <w:basedOn w:val="Fuentedeprrafopredeter"/>
    <w:uiPriority w:val="99"/>
    <w:unhideWhenUsed/>
    <w:rsid w:val="008551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8E63A-C132-4414-AE8C-12CEE4FF4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742</Words>
  <Characters>4181</Characters>
  <Application>Microsoft Office Word</Application>
  <DocSecurity>0</DocSecurity>
  <Lines>126</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5</cp:revision>
  <dcterms:created xsi:type="dcterms:W3CDTF">2019-10-21T16:35:00Z</dcterms:created>
  <dcterms:modified xsi:type="dcterms:W3CDTF">2019-12-10T20:59:00Z</dcterms:modified>
</cp:coreProperties>
</file>