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32C40" w14:textId="77777777" w:rsidR="006923FB" w:rsidRPr="006923FB" w:rsidRDefault="006923FB" w:rsidP="006923FB">
      <w:pPr>
        <w:spacing w:after="0" w:line="240" w:lineRule="auto"/>
        <w:jc w:val="center"/>
        <w:rPr>
          <w:rFonts w:ascii="Arial" w:hAnsi="Arial" w:cs="Arial"/>
          <w:b/>
          <w:bCs/>
          <w:color w:val="D557AF"/>
          <w:spacing w:val="30"/>
          <w:sz w:val="28"/>
          <w:szCs w:val="28"/>
        </w:rPr>
      </w:pPr>
      <w:r>
        <w:rPr>
          <w:rFonts w:ascii="Arial" w:hAnsi="Arial" w:cs="Arial"/>
          <w:b/>
          <w:bCs/>
          <w:color w:val="D557AF"/>
          <w:spacing w:val="30"/>
          <w:sz w:val="28"/>
          <w:szCs w:val="28"/>
        </w:rPr>
        <w:t>ORGANIZACIÓN DE LOS RECURSOS</w:t>
      </w:r>
    </w:p>
    <w:p w14:paraId="5A85363D" w14:textId="77777777" w:rsidR="00182E53" w:rsidRPr="006923FB" w:rsidRDefault="007E6874" w:rsidP="006923FB">
      <w:pPr>
        <w:pBdr>
          <w:bottom w:val="single" w:sz="4" w:space="1" w:color="D558AF"/>
        </w:pBdr>
        <w:spacing w:after="0" w:line="240" w:lineRule="auto"/>
        <w:ind w:left="1701" w:right="1608"/>
        <w:jc w:val="center"/>
        <w:rPr>
          <w:rFonts w:asciiTheme="minorHAnsi" w:hAnsiTheme="minorHAnsi" w:cstheme="minorHAnsi"/>
          <w:b/>
          <w:color w:val="404040" w:themeColor="text1" w:themeTint="BF"/>
          <w:sz w:val="32"/>
          <w:szCs w:val="32"/>
        </w:rPr>
      </w:pPr>
      <w:r w:rsidRPr="006923FB">
        <w:rPr>
          <w:rFonts w:asciiTheme="minorHAnsi" w:hAnsiTheme="minorHAnsi" w:cstheme="minorHAnsi"/>
          <w:b/>
          <w:color w:val="404040" w:themeColor="text1" w:themeTint="BF"/>
          <w:sz w:val="32"/>
          <w:szCs w:val="32"/>
        </w:rPr>
        <w:t>Porcentajes mayores que 100</w:t>
      </w:r>
      <w:r w:rsidR="00182E53" w:rsidRPr="006923FB">
        <w:rPr>
          <w:rFonts w:asciiTheme="minorHAnsi" w:hAnsiTheme="minorHAnsi" w:cstheme="minorHAnsi"/>
          <w:b/>
          <w:color w:val="404040" w:themeColor="text1" w:themeTint="BF"/>
          <w:sz w:val="32"/>
          <w:szCs w:val="32"/>
        </w:rPr>
        <w:t xml:space="preserve"> </w:t>
      </w:r>
    </w:p>
    <w:p w14:paraId="437EBBB2" w14:textId="77777777" w:rsidR="00D505B0" w:rsidRPr="00A22771" w:rsidRDefault="00D505B0" w:rsidP="00D505B0">
      <w:pPr>
        <w:pBdr>
          <w:bottom w:val="single" w:sz="4" w:space="1" w:color="D558AF"/>
        </w:pBdr>
        <w:spacing w:after="0" w:line="240" w:lineRule="auto"/>
        <w:ind w:left="1701" w:right="1608"/>
        <w:jc w:val="center"/>
        <w:rPr>
          <w:rFonts w:asciiTheme="minorHAnsi" w:hAnsiTheme="minorHAnsi" w:cs="Arial"/>
          <w:b/>
          <w:color w:val="404040"/>
          <w:sz w:val="28"/>
          <w:szCs w:val="28"/>
        </w:rPr>
      </w:pPr>
    </w:p>
    <w:p w14:paraId="6FF3726E" w14:textId="77777777" w:rsidR="00DA1E76" w:rsidRPr="00A22771" w:rsidRDefault="00DA1E76" w:rsidP="00DA1E76">
      <w:pPr>
        <w:spacing w:after="0" w:line="240" w:lineRule="auto"/>
        <w:rPr>
          <w:rFonts w:asciiTheme="minorHAnsi" w:hAnsiTheme="minorHAnsi" w:cs="Arial"/>
          <w:lang w:val="es-ES"/>
        </w:rPr>
      </w:pPr>
      <w:r w:rsidRPr="00A22771">
        <w:rPr>
          <w:rFonts w:asciiTheme="minorHAnsi" w:hAnsiTheme="minorHAnsi" w:cs="Arial"/>
          <w:b/>
          <w:color w:val="D557AF"/>
          <w:sz w:val="30"/>
          <w:szCs w:val="30"/>
        </w:rPr>
        <w:t>Palabras clave</w:t>
      </w:r>
    </w:p>
    <w:p w14:paraId="6979CCD6" w14:textId="77777777" w:rsidR="00DA1E76" w:rsidRPr="00A22771" w:rsidRDefault="00DA1E76" w:rsidP="00DA1E76">
      <w:pPr>
        <w:spacing w:after="0" w:line="240" w:lineRule="auto"/>
        <w:rPr>
          <w:rFonts w:asciiTheme="minorHAnsi" w:hAnsiTheme="minorHAnsi" w:cs="Arial"/>
          <w:lang w:val="es-ES"/>
        </w:rPr>
      </w:pPr>
    </w:p>
    <w:p w14:paraId="00B416B9" w14:textId="77777777" w:rsidR="00A22771" w:rsidRPr="00A22771" w:rsidRDefault="00A22771" w:rsidP="00A22771">
      <w:pPr>
        <w:spacing w:after="0"/>
        <w:rPr>
          <w:rFonts w:asciiTheme="minorHAnsi" w:hAnsiTheme="minorHAnsi" w:cs="Arial"/>
          <w:lang w:val="es-ES"/>
        </w:rPr>
      </w:pPr>
      <w:r w:rsidRPr="00A22771">
        <w:rPr>
          <w:rFonts w:asciiTheme="minorHAnsi" w:hAnsiTheme="minorHAnsi" w:cs="Arial"/>
          <w:lang w:val="es-ES"/>
        </w:rPr>
        <w:t>Parte, todo, partes del todo, porcentaje, porcentajes mayores que 100, tanto por ciento, referente, proporcionalidad, razón, fracción, números decimales.</w:t>
      </w:r>
    </w:p>
    <w:p w14:paraId="17D856AE" w14:textId="77777777" w:rsidR="00DA1E76" w:rsidRPr="00A22771" w:rsidRDefault="00DA1E76" w:rsidP="00DA1E76">
      <w:pPr>
        <w:spacing w:after="0" w:line="240" w:lineRule="auto"/>
        <w:rPr>
          <w:rFonts w:asciiTheme="minorHAnsi" w:hAnsiTheme="minorHAnsi" w:cs="Arial"/>
          <w:lang w:val="es-ES"/>
        </w:rPr>
      </w:pPr>
    </w:p>
    <w:p w14:paraId="61820FC7" w14:textId="77777777" w:rsidR="00DA1E76" w:rsidRPr="00A22771" w:rsidRDefault="00DA1E76" w:rsidP="00DA1E76">
      <w:pPr>
        <w:spacing w:after="0" w:line="240" w:lineRule="auto"/>
        <w:rPr>
          <w:rFonts w:asciiTheme="minorHAnsi" w:hAnsiTheme="minorHAnsi" w:cs="Arial"/>
          <w:b/>
          <w:color w:val="D557AF"/>
          <w:sz w:val="30"/>
          <w:szCs w:val="30"/>
        </w:rPr>
      </w:pPr>
      <w:r w:rsidRPr="00A22771">
        <w:rPr>
          <w:rFonts w:asciiTheme="minorHAnsi" w:hAnsiTheme="minorHAnsi" w:cs="Arial"/>
          <w:b/>
          <w:color w:val="D557AF"/>
          <w:sz w:val="30"/>
          <w:szCs w:val="30"/>
        </w:rPr>
        <w:t>Objetivo de aprendizaje</w:t>
      </w:r>
    </w:p>
    <w:p w14:paraId="55A41DF8" w14:textId="77777777" w:rsidR="00DA1E76" w:rsidRPr="00A22771" w:rsidRDefault="00DA1E76" w:rsidP="00DA1E76">
      <w:pPr>
        <w:spacing w:after="0" w:line="240" w:lineRule="auto"/>
        <w:rPr>
          <w:rFonts w:asciiTheme="minorHAnsi" w:hAnsiTheme="minorHAnsi" w:cs="Arial"/>
          <w:b/>
          <w:lang w:val="es-ES"/>
        </w:rPr>
      </w:pPr>
    </w:p>
    <w:tbl>
      <w:tblPr>
        <w:tblW w:w="0" w:type="auto"/>
        <w:jc w:val="center"/>
        <w:tblBorders>
          <w:top w:val="single" w:sz="12" w:space="0" w:color="D558AF"/>
          <w:left w:val="single" w:sz="12" w:space="0" w:color="D558AF"/>
          <w:bottom w:val="single" w:sz="12" w:space="0" w:color="D558AF"/>
          <w:right w:val="single" w:sz="12" w:space="0" w:color="D558AF"/>
        </w:tblBorders>
        <w:shd w:val="clear" w:color="auto" w:fill="D9D9D9"/>
        <w:tblLook w:val="04A0" w:firstRow="1" w:lastRow="0" w:firstColumn="1" w:lastColumn="0" w:noHBand="0" w:noVBand="1"/>
      </w:tblPr>
      <w:tblGrid>
        <w:gridCol w:w="6379"/>
      </w:tblGrid>
      <w:tr w:rsidR="00DA1E76" w:rsidRPr="00A22771" w14:paraId="6372F737" w14:textId="77777777" w:rsidTr="00C62A82">
        <w:trPr>
          <w:trHeight w:val="1062"/>
          <w:jc w:val="center"/>
        </w:trPr>
        <w:tc>
          <w:tcPr>
            <w:tcW w:w="6379" w:type="dxa"/>
            <w:shd w:val="clear" w:color="auto" w:fill="D9D9D9"/>
          </w:tcPr>
          <w:p w14:paraId="141E9EFE" w14:textId="77777777" w:rsidR="00DA1E76" w:rsidRPr="00A22771" w:rsidRDefault="00DA1E76" w:rsidP="00C62A82">
            <w:pPr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</w:p>
          <w:p w14:paraId="75C63F53" w14:textId="77777777" w:rsidR="00DA1E76" w:rsidRPr="00A22771" w:rsidRDefault="00DA1E76" w:rsidP="00C62A82">
            <w:pPr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  <w:r w:rsidRPr="00A22771">
              <w:rPr>
                <w:rFonts w:asciiTheme="minorHAnsi" w:hAnsiTheme="minorHAnsi" w:cs="Arial"/>
                <w:lang w:val="es-ES"/>
              </w:rPr>
              <w:t xml:space="preserve">OA4.Mostrar que comprenden el concepto de porcentaje: </w:t>
            </w:r>
          </w:p>
          <w:p w14:paraId="5178572D" w14:textId="77777777" w:rsidR="00DA1E76" w:rsidRPr="00A22771" w:rsidRDefault="00DA1E76" w:rsidP="00C62A82">
            <w:pPr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</w:p>
          <w:p w14:paraId="10B5354A" w14:textId="77777777" w:rsidR="00DA1E76" w:rsidRPr="00A22771" w:rsidRDefault="00DA1E76" w:rsidP="00C62A8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  <w:r w:rsidRPr="00A22771">
              <w:rPr>
                <w:rFonts w:asciiTheme="minorHAnsi" w:hAnsiTheme="minorHAnsi" w:cs="Arial"/>
                <w:lang w:val="es-ES"/>
              </w:rPr>
              <w:t xml:space="preserve">Representándolo de manera pictórica. </w:t>
            </w:r>
          </w:p>
          <w:p w14:paraId="12CA067E" w14:textId="77777777" w:rsidR="00DA1E76" w:rsidRPr="00A22771" w:rsidRDefault="00DA1E76" w:rsidP="00C62A8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  <w:r w:rsidRPr="00A22771">
              <w:rPr>
                <w:rFonts w:asciiTheme="minorHAnsi" w:hAnsiTheme="minorHAnsi" w:cs="Arial"/>
                <w:lang w:val="es-ES"/>
              </w:rPr>
              <w:t xml:space="preserve">Calculando de varias maneras. </w:t>
            </w:r>
          </w:p>
          <w:p w14:paraId="6B67C27F" w14:textId="77777777" w:rsidR="00DA1E76" w:rsidRPr="00A22771" w:rsidRDefault="00DA1E76" w:rsidP="00C62A8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  <w:r w:rsidRPr="00A22771">
              <w:rPr>
                <w:rFonts w:asciiTheme="minorHAnsi" w:hAnsiTheme="minorHAnsi" w:cs="Arial"/>
                <w:lang w:val="es-ES"/>
              </w:rPr>
              <w:t>Aplicándolo a situaciones sencillas.</w:t>
            </w:r>
          </w:p>
          <w:p w14:paraId="069D8138" w14:textId="77777777" w:rsidR="00DA1E76" w:rsidRPr="00A22771" w:rsidRDefault="00DA1E76" w:rsidP="00C62A82">
            <w:pPr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</w:p>
        </w:tc>
      </w:tr>
    </w:tbl>
    <w:p w14:paraId="4C82E9D2" w14:textId="77777777" w:rsidR="00DA1E76" w:rsidRPr="00A22771" w:rsidRDefault="00DA1E76" w:rsidP="00DA1E76">
      <w:pPr>
        <w:spacing w:after="0"/>
        <w:rPr>
          <w:rFonts w:asciiTheme="minorHAnsi" w:hAnsiTheme="minorHAnsi" w:cs="Arial"/>
        </w:rPr>
      </w:pPr>
    </w:p>
    <w:p w14:paraId="55510C42" w14:textId="77777777" w:rsidR="00182E53" w:rsidRPr="00A22771" w:rsidRDefault="00182E53" w:rsidP="00182E53">
      <w:pPr>
        <w:rPr>
          <w:rFonts w:asciiTheme="minorHAnsi" w:hAnsiTheme="minorHAnsi" w:cs="Arial"/>
          <w:lang w:val="es-ES"/>
        </w:rPr>
      </w:pPr>
      <w:r w:rsidRPr="00A22771">
        <w:rPr>
          <w:rFonts w:asciiTheme="minorHAnsi" w:hAnsiTheme="minorHAnsi" w:cs="Arial"/>
          <w:lang w:val="es-ES"/>
        </w:rPr>
        <w:t xml:space="preserve">La actividad </w:t>
      </w:r>
      <w:r w:rsidRPr="00A22771">
        <w:rPr>
          <w:rFonts w:asciiTheme="minorHAnsi" w:hAnsiTheme="minorHAnsi" w:cs="Arial"/>
          <w:b/>
          <w:lang w:val="es-ES"/>
        </w:rPr>
        <w:t>Porcentaje</w:t>
      </w:r>
      <w:r w:rsidR="00DB289A" w:rsidRPr="00A22771">
        <w:rPr>
          <w:rFonts w:asciiTheme="minorHAnsi" w:hAnsiTheme="minorHAnsi" w:cs="Arial"/>
          <w:b/>
          <w:lang w:val="es-ES"/>
        </w:rPr>
        <w:t xml:space="preserve">s mayores que 100 </w:t>
      </w:r>
      <w:r w:rsidRPr="00A22771">
        <w:rPr>
          <w:rFonts w:asciiTheme="minorHAnsi" w:hAnsiTheme="minorHAnsi" w:cs="Arial"/>
          <w:lang w:val="es-ES"/>
        </w:rPr>
        <w:t xml:space="preserve">hace uso de los siguientes recursos de aprendizaje: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9"/>
        <w:gridCol w:w="2390"/>
        <w:gridCol w:w="2245"/>
        <w:gridCol w:w="2245"/>
      </w:tblGrid>
      <w:tr w:rsidR="0018797D" w:rsidRPr="00A22771" w14:paraId="0E86A607" w14:textId="77777777" w:rsidTr="00B0605D">
        <w:trPr>
          <w:trHeight w:val="3058"/>
        </w:trPr>
        <w:tc>
          <w:tcPr>
            <w:tcW w:w="2244" w:type="dxa"/>
            <w:tcBorders>
              <w:right w:val="single" w:sz="4" w:space="0" w:color="808080" w:themeColor="background1" w:themeShade="80"/>
            </w:tcBorders>
            <w:vAlign w:val="center"/>
          </w:tcPr>
          <w:p w14:paraId="21501A31" w14:textId="77777777" w:rsidR="00182E53" w:rsidRPr="00A22771" w:rsidRDefault="00997326" w:rsidP="00C62A82">
            <w:pPr>
              <w:jc w:val="center"/>
              <w:rPr>
                <w:rFonts w:cs="Arial"/>
                <w:lang w:val="es-ES"/>
              </w:rPr>
            </w:pPr>
            <w:r w:rsidRPr="00997326">
              <w:rPr>
                <w:rFonts w:cs="Arial"/>
                <w:noProof/>
                <w:lang w:val="es-MX" w:eastAsia="es-MX"/>
              </w:rPr>
              <w:drawing>
                <wp:inline distT="0" distB="0" distL="0" distR="0" wp14:anchorId="78743C4D" wp14:editId="1E3A4864">
                  <wp:extent cx="1392650" cy="1571625"/>
                  <wp:effectExtent l="1905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005" cy="15754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0997F4" w14:textId="77777777" w:rsidR="00182E53" w:rsidRPr="00A22771" w:rsidRDefault="00007ED8" w:rsidP="00C62A82">
            <w:pPr>
              <w:jc w:val="center"/>
              <w:rPr>
                <w:rFonts w:cs="Arial"/>
                <w:lang w:val="es-ES"/>
              </w:rPr>
            </w:pPr>
            <w:r w:rsidRPr="00007ED8">
              <w:rPr>
                <w:rFonts w:cs="Arial"/>
                <w:noProof/>
                <w:lang w:val="es-ES"/>
              </w:rPr>
              <w:drawing>
                <wp:inline distT="0" distB="0" distL="0" distR="0" wp14:anchorId="3CF7E5E4" wp14:editId="0D3B3333">
                  <wp:extent cx="1361713" cy="1581150"/>
                  <wp:effectExtent l="19050" t="0" r="0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713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17306D" w14:textId="77777777" w:rsidR="00182E53" w:rsidRPr="00A22771" w:rsidRDefault="00182E53" w:rsidP="00C62A82">
            <w:pPr>
              <w:jc w:val="center"/>
              <w:rPr>
                <w:rFonts w:cs="Arial"/>
                <w:lang w:val="es-ES"/>
              </w:rPr>
            </w:pPr>
          </w:p>
          <w:p w14:paraId="34A995B2" w14:textId="77777777" w:rsidR="00F539E2" w:rsidRPr="00A22771" w:rsidRDefault="00EB4BD6" w:rsidP="00C62A82">
            <w:pPr>
              <w:jc w:val="center"/>
              <w:rPr>
                <w:rFonts w:cs="Arial"/>
                <w:lang w:val="es-ES"/>
              </w:rPr>
            </w:pPr>
            <w:r w:rsidRPr="00A22771">
              <w:rPr>
                <w:rFonts w:cs="Arial"/>
                <w:noProof/>
                <w:lang w:val="es-MX" w:eastAsia="es-MX"/>
              </w:rPr>
              <w:drawing>
                <wp:inline distT="0" distB="0" distL="0" distR="0" wp14:anchorId="3327D710" wp14:editId="1A7248BF">
                  <wp:extent cx="1182401" cy="941456"/>
                  <wp:effectExtent l="12700" t="12700" r="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180" cy="95083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5" w:type="dxa"/>
            <w:tcBorders>
              <w:left w:val="single" w:sz="4" w:space="0" w:color="808080" w:themeColor="background1" w:themeShade="80"/>
            </w:tcBorders>
            <w:vAlign w:val="center"/>
          </w:tcPr>
          <w:p w14:paraId="68E0AE2B" w14:textId="77777777" w:rsidR="00182E53" w:rsidRPr="00A22771" w:rsidRDefault="0018797D" w:rsidP="00C62A82">
            <w:pPr>
              <w:jc w:val="center"/>
              <w:rPr>
                <w:rFonts w:cs="Arial"/>
                <w:lang w:val="es-ES"/>
              </w:rPr>
            </w:pPr>
            <w:r w:rsidRPr="00A22771">
              <w:rPr>
                <w:rFonts w:cs="Arial"/>
                <w:noProof/>
                <w:lang w:val="es-MX" w:eastAsia="es-MX"/>
              </w:rPr>
              <w:drawing>
                <wp:inline distT="0" distB="0" distL="0" distR="0" wp14:anchorId="2D5D8940" wp14:editId="78672920">
                  <wp:extent cx="1235652" cy="1606163"/>
                  <wp:effectExtent l="19050" t="0" r="2598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652" cy="1606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97D" w:rsidRPr="00A22771" w14:paraId="0E180198" w14:textId="77777777" w:rsidTr="00B0605D">
        <w:tc>
          <w:tcPr>
            <w:tcW w:w="2244" w:type="dxa"/>
            <w:tcBorders>
              <w:right w:val="single" w:sz="4" w:space="0" w:color="808080" w:themeColor="background1" w:themeShade="80"/>
            </w:tcBorders>
          </w:tcPr>
          <w:p w14:paraId="5E9C1E6D" w14:textId="77777777" w:rsidR="00182E53" w:rsidRPr="00A22771" w:rsidRDefault="00182E53" w:rsidP="00C62A82">
            <w:pPr>
              <w:jc w:val="center"/>
              <w:rPr>
                <w:rFonts w:cs="Arial"/>
                <w:lang w:val="es-ES"/>
              </w:rPr>
            </w:pPr>
            <w:r w:rsidRPr="00A22771">
              <w:rPr>
                <w:rFonts w:cs="Arial"/>
                <w:b/>
                <w:lang w:val="es-ES"/>
              </w:rPr>
              <w:t>Guía para el estudiante</w:t>
            </w:r>
          </w:p>
        </w:tc>
        <w:tc>
          <w:tcPr>
            <w:tcW w:w="224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482B2B" w14:textId="77777777" w:rsidR="00182E53" w:rsidRPr="00A22771" w:rsidRDefault="00182E53" w:rsidP="00C62A82">
            <w:pPr>
              <w:jc w:val="center"/>
              <w:rPr>
                <w:rFonts w:cs="Arial"/>
                <w:lang w:val="es-ES"/>
              </w:rPr>
            </w:pPr>
            <w:r w:rsidRPr="00A22771">
              <w:rPr>
                <w:rFonts w:cs="Arial"/>
                <w:b/>
                <w:lang w:val="es-ES"/>
              </w:rPr>
              <w:t>Planificación</w:t>
            </w:r>
          </w:p>
        </w:tc>
        <w:tc>
          <w:tcPr>
            <w:tcW w:w="224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ACD5DB" w14:textId="77777777" w:rsidR="00182E53" w:rsidRPr="00A22771" w:rsidRDefault="00182E53" w:rsidP="00C62A82">
            <w:pPr>
              <w:jc w:val="center"/>
              <w:rPr>
                <w:rFonts w:cs="Arial"/>
                <w:lang w:val="es-ES"/>
              </w:rPr>
            </w:pPr>
            <w:r w:rsidRPr="00A22771">
              <w:rPr>
                <w:rFonts w:cs="Arial"/>
                <w:b/>
                <w:lang w:val="es-ES"/>
              </w:rPr>
              <w:t>Software</w:t>
            </w:r>
          </w:p>
        </w:tc>
        <w:tc>
          <w:tcPr>
            <w:tcW w:w="2245" w:type="dxa"/>
            <w:tcBorders>
              <w:left w:val="single" w:sz="4" w:space="0" w:color="808080" w:themeColor="background1" w:themeShade="80"/>
            </w:tcBorders>
          </w:tcPr>
          <w:p w14:paraId="3695061B" w14:textId="77777777" w:rsidR="00182E53" w:rsidRPr="00A22771" w:rsidRDefault="00182E53" w:rsidP="00C62A82">
            <w:pPr>
              <w:jc w:val="center"/>
              <w:rPr>
                <w:rFonts w:cs="Arial"/>
                <w:lang w:val="es-ES"/>
              </w:rPr>
            </w:pPr>
            <w:r w:rsidRPr="00A22771">
              <w:rPr>
                <w:rFonts w:cs="Arial"/>
                <w:b/>
                <w:lang w:val="es-ES"/>
              </w:rPr>
              <w:t>Guión de uso del software</w:t>
            </w:r>
          </w:p>
        </w:tc>
      </w:tr>
    </w:tbl>
    <w:p w14:paraId="4A01D825" w14:textId="77777777" w:rsidR="00182E53" w:rsidRPr="00A22771" w:rsidRDefault="00182E53" w:rsidP="005F1101">
      <w:pPr>
        <w:spacing w:after="0" w:line="240" w:lineRule="auto"/>
        <w:rPr>
          <w:rFonts w:asciiTheme="minorHAnsi" w:hAnsiTheme="minorHAnsi" w:cs="Arial"/>
          <w:lang w:val="es-ES"/>
        </w:rPr>
      </w:pPr>
    </w:p>
    <w:p w14:paraId="43CDD88F" w14:textId="77777777" w:rsidR="00DA1E76" w:rsidRPr="00A22771" w:rsidRDefault="00DA1E76" w:rsidP="00D505B0">
      <w:pPr>
        <w:spacing w:after="0" w:line="240" w:lineRule="auto"/>
        <w:rPr>
          <w:rFonts w:asciiTheme="minorHAnsi" w:hAnsiTheme="minorHAnsi" w:cs="Arial"/>
          <w:b/>
          <w:color w:val="D557AF"/>
          <w:sz w:val="30"/>
          <w:szCs w:val="30"/>
        </w:rPr>
      </w:pPr>
    </w:p>
    <w:p w14:paraId="4AF9CCFA" w14:textId="77777777" w:rsidR="00DA1E76" w:rsidRPr="00A22771" w:rsidRDefault="00DA1E76" w:rsidP="00D505B0">
      <w:pPr>
        <w:spacing w:after="0" w:line="240" w:lineRule="auto"/>
        <w:rPr>
          <w:rFonts w:asciiTheme="minorHAnsi" w:hAnsiTheme="minorHAnsi" w:cs="Arial"/>
          <w:b/>
          <w:color w:val="D557AF"/>
          <w:sz w:val="30"/>
          <w:szCs w:val="30"/>
        </w:rPr>
      </w:pPr>
    </w:p>
    <w:p w14:paraId="6C39634A" w14:textId="77777777" w:rsidR="00DA1E76" w:rsidRPr="00A22771" w:rsidRDefault="00DA1E76" w:rsidP="00D505B0">
      <w:pPr>
        <w:spacing w:after="0" w:line="240" w:lineRule="auto"/>
        <w:rPr>
          <w:rFonts w:asciiTheme="minorHAnsi" w:hAnsiTheme="minorHAnsi" w:cs="Arial"/>
          <w:b/>
          <w:color w:val="D557AF"/>
          <w:sz w:val="30"/>
          <w:szCs w:val="30"/>
        </w:rPr>
      </w:pPr>
    </w:p>
    <w:p w14:paraId="70A3113B" w14:textId="77777777" w:rsidR="00BF7E0D" w:rsidRPr="00A22771" w:rsidRDefault="00BF7E0D" w:rsidP="00D505B0">
      <w:pPr>
        <w:spacing w:after="0" w:line="240" w:lineRule="auto"/>
        <w:rPr>
          <w:rFonts w:asciiTheme="minorHAnsi" w:hAnsiTheme="minorHAnsi" w:cs="Arial"/>
          <w:b/>
          <w:color w:val="D557AF"/>
          <w:sz w:val="30"/>
          <w:szCs w:val="30"/>
        </w:rPr>
      </w:pPr>
    </w:p>
    <w:p w14:paraId="3AD8EE4F" w14:textId="77777777" w:rsidR="00B802ED" w:rsidRDefault="00B802ED" w:rsidP="00B802ED">
      <w:pPr>
        <w:spacing w:after="0" w:line="240" w:lineRule="auto"/>
        <w:rPr>
          <w:rFonts w:cs="Calibri"/>
          <w:b/>
          <w:color w:val="D557AF"/>
        </w:rPr>
      </w:pPr>
      <w:r>
        <w:rPr>
          <w:rFonts w:cs="Calibri"/>
          <w:b/>
          <w:color w:val="D557AF"/>
        </w:rPr>
        <w:lastRenderedPageBreak/>
        <w:t>Recurso digital</w:t>
      </w:r>
    </w:p>
    <w:p w14:paraId="2F3B1981" w14:textId="77777777" w:rsidR="00D505B0" w:rsidRPr="00A22771" w:rsidRDefault="00D505B0" w:rsidP="00D505B0">
      <w:pPr>
        <w:spacing w:after="0" w:line="240" w:lineRule="auto"/>
        <w:rPr>
          <w:rFonts w:asciiTheme="minorHAnsi" w:hAnsiTheme="minorHAnsi" w:cs="Arial"/>
          <w:b/>
          <w:lang w:val="es-ES"/>
        </w:rPr>
      </w:pPr>
    </w:p>
    <w:p w14:paraId="094E2450" w14:textId="77777777" w:rsidR="000450FE" w:rsidRPr="00775B21" w:rsidRDefault="00B802ED" w:rsidP="00117E95">
      <w:pPr>
        <w:rPr>
          <w:rFonts w:asciiTheme="minorHAnsi" w:hAnsiTheme="minorHAnsi" w:cs="Arial"/>
          <w:lang w:val="es-ES"/>
        </w:rPr>
      </w:pPr>
      <w:r w:rsidRPr="00B802ED">
        <w:rPr>
          <w:rFonts w:asciiTheme="minorHAnsi" w:hAnsiTheme="minorHAnsi" w:cs="Arial"/>
          <w:lang w:val="es-ES"/>
        </w:rPr>
        <w:t>El software</w:t>
      </w:r>
      <w:r>
        <w:rPr>
          <w:rFonts w:asciiTheme="minorHAnsi" w:hAnsiTheme="minorHAnsi" w:cs="Arial"/>
          <w:b/>
          <w:lang w:val="es-ES"/>
        </w:rPr>
        <w:t xml:space="preserve"> </w:t>
      </w:r>
      <w:r w:rsidR="00182E53" w:rsidRPr="00A22771">
        <w:rPr>
          <w:rFonts w:asciiTheme="minorHAnsi" w:hAnsiTheme="minorHAnsi" w:cs="Arial"/>
          <w:b/>
          <w:lang w:val="es-ES"/>
        </w:rPr>
        <w:t>Porcentaje</w:t>
      </w:r>
      <w:r w:rsidR="00B60ECE" w:rsidRPr="00A22771">
        <w:rPr>
          <w:rFonts w:asciiTheme="minorHAnsi" w:hAnsiTheme="minorHAnsi" w:cs="Arial"/>
          <w:b/>
          <w:lang w:val="es-ES"/>
        </w:rPr>
        <w:t>s mayores que 100</w:t>
      </w:r>
      <w:r w:rsidR="00182E53" w:rsidRPr="00A22771">
        <w:rPr>
          <w:rFonts w:asciiTheme="minorHAnsi" w:hAnsiTheme="minorHAnsi" w:cs="Arial"/>
          <w:b/>
          <w:lang w:val="es-ES"/>
        </w:rPr>
        <w:t xml:space="preserve">, </w:t>
      </w:r>
      <w:r>
        <w:rPr>
          <w:rFonts w:asciiTheme="minorHAnsi" w:hAnsiTheme="minorHAnsi" w:cs="Arial"/>
          <w:lang w:val="es-ES"/>
        </w:rPr>
        <w:t>está</w:t>
      </w:r>
      <w:r w:rsidR="00182E53" w:rsidRPr="00A22771">
        <w:rPr>
          <w:rFonts w:asciiTheme="minorHAnsi" w:hAnsiTheme="minorHAnsi" w:cs="Arial"/>
          <w:lang w:val="es-ES"/>
        </w:rPr>
        <w:t xml:space="preserve"> diseñado</w:t>
      </w:r>
      <w:r w:rsidR="001232AA">
        <w:rPr>
          <w:rFonts w:asciiTheme="minorHAnsi" w:hAnsiTheme="minorHAnsi" w:cs="Arial"/>
          <w:lang w:val="es-ES"/>
        </w:rPr>
        <w:t xml:space="preserve"> </w:t>
      </w:r>
      <w:r w:rsidR="00182E53" w:rsidRPr="00A22771">
        <w:rPr>
          <w:rFonts w:asciiTheme="minorHAnsi" w:hAnsiTheme="minorHAnsi" w:cs="Arial"/>
          <w:lang w:val="es-ES"/>
        </w:rPr>
        <w:t xml:space="preserve">para facilitar </w:t>
      </w:r>
      <w:r w:rsidR="00B60ECE" w:rsidRPr="00A22771">
        <w:rPr>
          <w:rFonts w:asciiTheme="minorHAnsi" w:hAnsiTheme="minorHAnsi" w:cs="Arial"/>
          <w:lang w:val="es-ES"/>
        </w:rPr>
        <w:t>la comprensión de</w:t>
      </w:r>
      <w:r w:rsidR="00DC1D87">
        <w:rPr>
          <w:rFonts w:asciiTheme="minorHAnsi" w:hAnsiTheme="minorHAnsi" w:cs="Arial"/>
          <w:lang w:val="es-ES"/>
        </w:rPr>
        <w:t xml:space="preserve"> la noción de</w:t>
      </w:r>
      <w:r w:rsidR="00B60ECE" w:rsidRPr="00A22771">
        <w:rPr>
          <w:rFonts w:asciiTheme="minorHAnsi" w:hAnsiTheme="minorHAnsi" w:cs="Arial"/>
          <w:lang w:val="es-ES"/>
        </w:rPr>
        <w:t xml:space="preserve"> </w:t>
      </w:r>
      <w:r w:rsidR="00182E53" w:rsidRPr="00A22771">
        <w:rPr>
          <w:rFonts w:asciiTheme="minorHAnsi" w:hAnsiTheme="minorHAnsi" w:cs="Arial"/>
          <w:lang w:val="es-ES"/>
        </w:rPr>
        <w:t xml:space="preserve"> porcentaje</w:t>
      </w:r>
      <w:r w:rsidR="00B60ECE" w:rsidRPr="00A22771">
        <w:rPr>
          <w:rFonts w:asciiTheme="minorHAnsi" w:hAnsiTheme="minorHAnsi" w:cs="Arial"/>
          <w:lang w:val="es-ES"/>
        </w:rPr>
        <w:t xml:space="preserve">s mayores que 100 </w:t>
      </w:r>
      <w:r w:rsidR="00997326">
        <w:rPr>
          <w:rFonts w:asciiTheme="minorHAnsi" w:hAnsiTheme="minorHAnsi" w:cs="Arial"/>
          <w:lang w:val="es-ES"/>
        </w:rPr>
        <w:t>%.</w:t>
      </w:r>
      <w:r w:rsidR="00182E53" w:rsidRPr="00A22771">
        <w:rPr>
          <w:rFonts w:asciiTheme="minorHAnsi" w:hAnsiTheme="minorHAnsi" w:cs="Arial"/>
          <w:lang w:val="es-ES"/>
        </w:rPr>
        <w:t xml:space="preserve"> </w:t>
      </w:r>
      <w:r w:rsidR="00775B21">
        <w:rPr>
          <w:rFonts w:asciiTheme="minorHAnsi" w:hAnsiTheme="minorHAnsi" w:cs="Arial"/>
          <w:lang w:val="es-ES"/>
        </w:rPr>
        <w:t xml:space="preserve"> </w:t>
      </w:r>
      <w:r>
        <w:rPr>
          <w:bCs/>
        </w:rPr>
        <w:t xml:space="preserve">El recurso  tiene </w:t>
      </w:r>
      <w:r w:rsidR="00117E95">
        <w:rPr>
          <w:bCs/>
        </w:rPr>
        <w:t>un deslizador</w:t>
      </w:r>
      <w:r>
        <w:rPr>
          <w:bCs/>
        </w:rPr>
        <w:t xml:space="preserve"> que </w:t>
      </w:r>
      <w:r w:rsidR="00117E95">
        <w:rPr>
          <w:bCs/>
        </w:rPr>
        <w:t xml:space="preserve">permite </w:t>
      </w:r>
      <w:r>
        <w:rPr>
          <w:bCs/>
        </w:rPr>
        <w:t>modificar el referente, según el porcentaje que se desee visualizar y estimar.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02"/>
        <w:gridCol w:w="4504"/>
      </w:tblGrid>
      <w:tr w:rsidR="005261F8" w14:paraId="434DD980" w14:textId="77777777" w:rsidTr="00117E95">
        <w:tc>
          <w:tcPr>
            <w:tcW w:w="5102" w:type="dxa"/>
          </w:tcPr>
          <w:p w14:paraId="15D3B841" w14:textId="77777777" w:rsidR="00C407E9" w:rsidRDefault="00C407E9" w:rsidP="005261F8">
            <w:pPr>
              <w:spacing w:after="0"/>
              <w:rPr>
                <w:rFonts w:cs="Arial"/>
                <w:sz w:val="20"/>
              </w:rPr>
            </w:pPr>
          </w:p>
          <w:p w14:paraId="76504903" w14:textId="77777777" w:rsidR="005261F8" w:rsidRDefault="005261F8" w:rsidP="005261F8">
            <w:pPr>
              <w:spacing w:after="0"/>
              <w:rPr>
                <w:rFonts w:cs="Arial"/>
                <w:sz w:val="20"/>
              </w:rPr>
            </w:pPr>
            <w:r w:rsidRPr="003C090E">
              <w:rPr>
                <w:rFonts w:cs="Arial"/>
                <w:sz w:val="20"/>
              </w:rPr>
              <w:t xml:space="preserve">Observe que tiene </w:t>
            </w:r>
            <w:r>
              <w:rPr>
                <w:rFonts w:cs="Arial"/>
                <w:sz w:val="20"/>
              </w:rPr>
              <w:t>dos variables o deslizadores:</w:t>
            </w:r>
          </w:p>
          <w:p w14:paraId="010DE929" w14:textId="77777777" w:rsidR="005261F8" w:rsidRDefault="005261F8" w:rsidP="00182E53">
            <w:pPr>
              <w:spacing w:after="0" w:line="240" w:lineRule="auto"/>
              <w:rPr>
                <w:rFonts w:cs="Arial"/>
                <w:b/>
                <w:color w:val="FF0000"/>
              </w:rPr>
            </w:pPr>
          </w:p>
          <w:p w14:paraId="0DB6811F" w14:textId="77777777" w:rsidR="005261F8" w:rsidRPr="005261F8" w:rsidRDefault="00023BBE" w:rsidP="00182E53">
            <w:pPr>
              <w:spacing w:after="0" w:line="240" w:lineRule="auto"/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  <w:noProof/>
                <w:color w:val="FF0000"/>
                <w:lang w:val="es-MX" w:eastAsia="es-MX"/>
              </w:rPr>
              <w:pict w14:anchorId="28A1986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2" o:spid="_x0000_s1027" type="#_x0000_t202" alt="" style="position:absolute;margin-left:90.15pt;margin-top:77.95pt;width:96.75pt;height:22.75pt;z-index:251661312;visibility:visible;mso-wrap-edited:f;mso-width-relative:margin;mso-height-relative:margin">
                  <v:path arrowok="t"/>
                  <v:textbox style="mso-next-textbox:#Text Box 112">
                    <w:txbxContent>
                      <w:p w14:paraId="50E40320" w14:textId="77777777" w:rsidR="00182E53" w:rsidRPr="00152632" w:rsidRDefault="00182E53" w:rsidP="00182E53">
                        <w:pPr>
                          <w:jc w:val="center"/>
                          <w:rPr>
                            <w:color w:val="808080" w:themeColor="background1" w:themeShade="80"/>
                            <w:sz w:val="18"/>
                            <w:szCs w:val="18"/>
                            <w:lang w:val="en-US"/>
                          </w:rPr>
                        </w:pPr>
                        <w:r w:rsidRPr="00152632"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  <w:t>Regla elástica (escala)</w:t>
                        </w:r>
                      </w:p>
                    </w:txbxContent>
                  </v:textbox>
                </v:shape>
              </w:pict>
            </w:r>
            <w:r>
              <w:rPr>
                <w:rFonts w:cs="Arial"/>
                <w:b/>
                <w:noProof/>
                <w:color w:val="FF0000"/>
                <w:lang w:val="es-MX" w:eastAsia="es-MX"/>
              </w:rPr>
              <w:pict w14:anchorId="5A6070EC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13" o:spid="_x0000_s1026" type="#_x0000_t34" alt="" style="position:absolute;margin-left:186.9pt;margin-top:86.25pt;width:80.4pt;height:.05pt;z-index:251659264;visibility:visible;mso-wrap-edited:f" adj=",-133812000,-65445">
                  <v:stroke endarrow="block"/>
                  <o:lock v:ext="edit" shapetype="f"/>
                </v:shape>
              </w:pict>
            </w:r>
            <w:r w:rsidR="005261F8" w:rsidRPr="005261F8">
              <w:rPr>
                <w:rFonts w:cs="Arial"/>
                <w:b/>
                <w:noProof/>
                <w:color w:val="FF0000"/>
              </w:rPr>
              <w:drawing>
                <wp:inline distT="0" distB="0" distL="0" distR="0" wp14:anchorId="40D8EED7" wp14:editId="5D4F9787">
                  <wp:extent cx="2333625" cy="476250"/>
                  <wp:effectExtent l="19050" t="0" r="9525" b="0"/>
                  <wp:docPr id="1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4" w:type="dxa"/>
          </w:tcPr>
          <w:p w14:paraId="2D8430B8" w14:textId="77777777" w:rsidR="005261F8" w:rsidRDefault="005261F8" w:rsidP="00182E53">
            <w:pPr>
              <w:spacing w:after="0" w:line="240" w:lineRule="auto"/>
              <w:rPr>
                <w:rFonts w:cs="Arial"/>
                <w:b/>
                <w:color w:val="FF0000"/>
                <w:lang w:val="es-ES"/>
              </w:rPr>
            </w:pPr>
            <w:r w:rsidRPr="003409A4">
              <w:rPr>
                <w:rFonts w:cs="Arial"/>
                <w:b/>
                <w:noProof/>
                <w:color w:val="FF0000"/>
                <w:lang w:val="es-ES"/>
              </w:rPr>
              <w:drawing>
                <wp:inline distT="0" distB="0" distL="0" distR="0" wp14:anchorId="517505AF" wp14:editId="1167FD25">
                  <wp:extent cx="2009775" cy="2266950"/>
                  <wp:effectExtent l="19050" t="0" r="9525" b="0"/>
                  <wp:docPr id="12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b="4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9DCCBF" w14:textId="77777777" w:rsidR="005774CB" w:rsidRDefault="005774CB" w:rsidP="00182E53">
      <w:pPr>
        <w:spacing w:after="0" w:line="240" w:lineRule="auto"/>
        <w:rPr>
          <w:rFonts w:asciiTheme="minorHAnsi" w:hAnsiTheme="minorHAnsi" w:cs="Arial"/>
          <w:b/>
          <w:color w:val="FF0000"/>
          <w:lang w:val="es-ES"/>
        </w:rPr>
      </w:pPr>
    </w:p>
    <w:p w14:paraId="6CC470E2" w14:textId="77777777" w:rsidR="00775B21" w:rsidRDefault="00775B21" w:rsidP="00182E53">
      <w:pPr>
        <w:spacing w:after="0" w:line="240" w:lineRule="auto"/>
        <w:rPr>
          <w:rFonts w:asciiTheme="minorHAnsi" w:hAnsiTheme="minorHAnsi" w:cs="Arial"/>
          <w:b/>
          <w:color w:val="FF000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02"/>
        <w:gridCol w:w="4504"/>
      </w:tblGrid>
      <w:tr w:rsidR="005774CB" w14:paraId="6E4370A9" w14:textId="77777777" w:rsidTr="00117E95">
        <w:tc>
          <w:tcPr>
            <w:tcW w:w="5102" w:type="dxa"/>
          </w:tcPr>
          <w:p w14:paraId="472B8277" w14:textId="136DE5FF" w:rsidR="0029631B" w:rsidRDefault="005774CB" w:rsidP="00C407E9">
            <w:pPr>
              <w:spacing w:after="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Al </w:t>
            </w:r>
            <w:r w:rsidR="00FF6B46">
              <w:rPr>
                <w:rFonts w:cs="Arial"/>
                <w:lang w:val="es-ES"/>
              </w:rPr>
              <w:t>activar” Calibración</w:t>
            </w:r>
            <w:r w:rsidRPr="005774CB">
              <w:rPr>
                <w:rFonts w:cs="Arial"/>
                <w:lang w:val="es-ES"/>
              </w:rPr>
              <w:t>”</w:t>
            </w:r>
            <w:bookmarkStart w:id="0" w:name="_GoBack"/>
            <w:bookmarkEnd w:id="0"/>
            <w:r w:rsidRPr="005774CB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>se visualizará</w:t>
            </w:r>
            <w:r w:rsidRPr="00350262">
              <w:rPr>
                <w:rFonts w:cs="Arial"/>
                <w:lang w:val="es-ES"/>
              </w:rPr>
              <w:t xml:space="preserve"> una línea</w:t>
            </w:r>
            <w:r w:rsidR="0029631B">
              <w:rPr>
                <w:rFonts w:cs="Arial"/>
                <w:lang w:val="es-ES"/>
              </w:rPr>
              <w:t xml:space="preserve"> horizontal azul</w:t>
            </w:r>
            <w:r>
              <w:rPr>
                <w:rFonts w:cs="Arial"/>
                <w:lang w:val="es-ES"/>
              </w:rPr>
              <w:t xml:space="preserve"> </w:t>
            </w:r>
            <w:r w:rsidR="0029631B">
              <w:rPr>
                <w:rFonts w:cs="Arial"/>
                <w:lang w:val="es-ES"/>
              </w:rPr>
              <w:t xml:space="preserve">, la que se puede ajustar </w:t>
            </w:r>
            <w:r w:rsidR="0029631B" w:rsidRPr="00350262">
              <w:rPr>
                <w:rFonts w:cs="Arial"/>
                <w:lang w:val="es-ES"/>
              </w:rPr>
              <w:t xml:space="preserve">moviendo </w:t>
            </w:r>
            <w:r w:rsidR="0029631B">
              <w:rPr>
                <w:rFonts w:cs="Arial"/>
                <w:lang w:val="es-ES"/>
              </w:rPr>
              <w:t xml:space="preserve">con el mousse </w:t>
            </w:r>
            <w:r w:rsidR="0029631B" w:rsidRPr="00350262">
              <w:rPr>
                <w:rFonts w:cs="Arial"/>
                <w:lang w:val="es-ES"/>
              </w:rPr>
              <w:t>el punto azul de donde ella parte</w:t>
            </w:r>
            <w:r w:rsidR="0029631B">
              <w:rPr>
                <w:rFonts w:cs="Arial"/>
                <w:lang w:val="es-ES"/>
              </w:rPr>
              <w:t>.</w:t>
            </w:r>
            <w:r w:rsidRPr="00350262">
              <w:rPr>
                <w:rFonts w:cs="Arial"/>
                <w:lang w:val="es-ES"/>
              </w:rPr>
              <w:t xml:space="preserve"> </w:t>
            </w:r>
            <w:r w:rsidR="0029631B">
              <w:rPr>
                <w:rFonts w:cs="Arial"/>
                <w:lang w:val="es-ES"/>
              </w:rPr>
              <w:t xml:space="preserve"> Esta barra azul corresponde al referente a utilizar.</w:t>
            </w:r>
          </w:p>
          <w:p w14:paraId="6B38EC84" w14:textId="77777777" w:rsidR="00C407E9" w:rsidRDefault="00C407E9" w:rsidP="00C407E9">
            <w:pPr>
              <w:spacing w:after="0"/>
              <w:rPr>
                <w:rFonts w:cs="Arial"/>
                <w:lang w:val="es-ES"/>
              </w:rPr>
            </w:pPr>
          </w:p>
          <w:p w14:paraId="01D66344" w14:textId="77777777" w:rsidR="005774CB" w:rsidRDefault="005774CB" w:rsidP="00C407E9">
            <w:pPr>
              <w:spacing w:after="0"/>
              <w:rPr>
                <w:rFonts w:cs="Arial"/>
                <w:lang w:val="es-ES"/>
              </w:rPr>
            </w:pPr>
            <w:r w:rsidRPr="00350262">
              <w:rPr>
                <w:rFonts w:cs="Arial"/>
                <w:lang w:val="es-ES"/>
              </w:rPr>
              <w:t>Cualquier barra puede ser considerada como referente, o sea, como el 100% y por ello</w:t>
            </w:r>
            <w:r>
              <w:rPr>
                <w:rFonts w:cs="Arial"/>
                <w:lang w:val="es-ES"/>
              </w:rPr>
              <w:t xml:space="preserve"> </w:t>
            </w:r>
            <w:r w:rsidRPr="00350262">
              <w:rPr>
                <w:rFonts w:cs="Arial"/>
                <w:lang w:val="es-ES"/>
              </w:rPr>
              <w:t xml:space="preserve">es que se le llama </w:t>
            </w:r>
            <w:r>
              <w:rPr>
                <w:rFonts w:cs="Arial"/>
                <w:lang w:val="es-ES"/>
              </w:rPr>
              <w:t>“</w:t>
            </w:r>
            <w:r w:rsidRPr="00350262">
              <w:rPr>
                <w:rFonts w:cs="Arial"/>
                <w:lang w:val="es-ES"/>
              </w:rPr>
              <w:t>regla elástica</w:t>
            </w:r>
            <w:r>
              <w:rPr>
                <w:rFonts w:cs="Arial"/>
                <w:lang w:val="es-ES"/>
              </w:rPr>
              <w:t>”</w:t>
            </w:r>
            <w:r w:rsidRPr="00350262">
              <w:rPr>
                <w:rFonts w:cs="Arial"/>
                <w:lang w:val="es-ES"/>
              </w:rPr>
              <w:t xml:space="preserve">. </w:t>
            </w:r>
          </w:p>
          <w:p w14:paraId="18AADCFB" w14:textId="77777777" w:rsidR="005774CB" w:rsidRPr="005774CB" w:rsidRDefault="005774CB" w:rsidP="00C407E9">
            <w:pPr>
              <w:spacing w:after="0"/>
              <w:rPr>
                <w:rFonts w:cs="Arial"/>
                <w:lang w:val="es-ES"/>
              </w:rPr>
            </w:pPr>
          </w:p>
          <w:p w14:paraId="6DEC4247" w14:textId="77777777" w:rsidR="00C407E9" w:rsidRPr="005774CB" w:rsidRDefault="00C407E9" w:rsidP="00C407E9">
            <w:pPr>
              <w:spacing w:after="0"/>
              <w:rPr>
                <w:rFonts w:cs="Arial"/>
                <w:b/>
                <w:color w:val="FF0000"/>
              </w:rPr>
            </w:pPr>
          </w:p>
        </w:tc>
        <w:tc>
          <w:tcPr>
            <w:tcW w:w="4504" w:type="dxa"/>
          </w:tcPr>
          <w:p w14:paraId="1BB79E5F" w14:textId="77777777" w:rsidR="005774CB" w:rsidRDefault="00117E95" w:rsidP="00182E53">
            <w:pPr>
              <w:spacing w:after="0" w:line="240" w:lineRule="auto"/>
              <w:rPr>
                <w:rFonts w:cs="Arial"/>
                <w:b/>
                <w:color w:val="FF0000"/>
                <w:lang w:val="es-ES"/>
              </w:rPr>
            </w:pPr>
            <w:r>
              <w:rPr>
                <w:rFonts w:ascii="Calibri" w:hAnsi="Calibri" w:cs="Times New Roman"/>
              </w:rPr>
              <w:object w:dxaOrig="7200" w:dyaOrig="6705" w14:anchorId="5D671D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pt;height:154pt" o:ole="">
                  <v:imagedata r:id="rId13" o:title=""/>
                </v:shape>
                <o:OLEObject Type="Embed" ProgID="PBrush" ShapeID="_x0000_i1025" DrawAspect="Content" ObjectID="_1625225136" r:id="rId14"/>
              </w:object>
            </w:r>
          </w:p>
        </w:tc>
      </w:tr>
    </w:tbl>
    <w:p w14:paraId="2C45EE8B" w14:textId="77777777" w:rsidR="005774CB" w:rsidRDefault="005774CB" w:rsidP="00182E53">
      <w:pPr>
        <w:spacing w:after="0" w:line="240" w:lineRule="auto"/>
        <w:rPr>
          <w:rFonts w:asciiTheme="minorHAnsi" w:hAnsiTheme="minorHAnsi" w:cs="Arial"/>
          <w:b/>
          <w:color w:val="FF0000"/>
          <w:lang w:val="es-ES"/>
        </w:rPr>
      </w:pPr>
    </w:p>
    <w:p w14:paraId="11DD1ABF" w14:textId="77777777" w:rsidR="00775B21" w:rsidRPr="00A22771" w:rsidRDefault="00775B21" w:rsidP="00182E53">
      <w:pPr>
        <w:spacing w:after="0" w:line="240" w:lineRule="auto"/>
        <w:rPr>
          <w:rFonts w:asciiTheme="minorHAnsi" w:hAnsiTheme="minorHAnsi" w:cs="Arial"/>
          <w:b/>
          <w:color w:val="FF000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02"/>
        <w:gridCol w:w="4504"/>
      </w:tblGrid>
      <w:tr w:rsidR="00117E95" w14:paraId="23184C99" w14:textId="77777777" w:rsidTr="00117E95">
        <w:tc>
          <w:tcPr>
            <w:tcW w:w="5102" w:type="dxa"/>
          </w:tcPr>
          <w:p w14:paraId="6A57D977" w14:textId="77777777" w:rsidR="00117E95" w:rsidRDefault="00117E95" w:rsidP="00117E95">
            <w:pPr>
              <w:spacing w:after="0"/>
              <w:rPr>
                <w:rFonts w:cs="Arial"/>
                <w:lang w:val="es-ES"/>
              </w:rPr>
            </w:pPr>
            <w:r w:rsidRPr="00350262">
              <w:rPr>
                <w:rFonts w:cs="Arial"/>
                <w:lang w:val="es-ES"/>
              </w:rPr>
              <w:t>La línea roja permite estimar el porcentaje de la barra a la que se ajuste su altura, respecto de la barra azul.</w:t>
            </w:r>
          </w:p>
          <w:p w14:paraId="473EA064" w14:textId="77777777" w:rsidR="00117E95" w:rsidRDefault="00117E95" w:rsidP="00117E95">
            <w:pPr>
              <w:spacing w:after="0"/>
              <w:rPr>
                <w:rFonts w:cs="Arial"/>
                <w:lang w:val="es-ES"/>
              </w:rPr>
            </w:pPr>
          </w:p>
          <w:p w14:paraId="489C0753" w14:textId="77777777" w:rsidR="00117E95" w:rsidRDefault="00117E95" w:rsidP="00117E95">
            <w:r>
              <w:rPr>
                <w:rFonts w:cs="Arial"/>
                <w:lang w:val="es-ES"/>
              </w:rPr>
              <w:t>Al activar “Ver estimación” se mostrará el porcentaje según lo que indique la barra roja.</w:t>
            </w:r>
          </w:p>
        </w:tc>
        <w:tc>
          <w:tcPr>
            <w:tcW w:w="4504" w:type="dxa"/>
          </w:tcPr>
          <w:p w14:paraId="24D1E3AE" w14:textId="77777777" w:rsidR="00117E95" w:rsidRDefault="00117E95" w:rsidP="000450FE">
            <w:r>
              <w:rPr>
                <w:rFonts w:ascii="Calibri" w:hAnsi="Calibri" w:cs="Times New Roman"/>
              </w:rPr>
              <w:object w:dxaOrig="7050" w:dyaOrig="6780" w14:anchorId="57E3A605">
                <v:shape id="_x0000_i1026" type="#_x0000_t75" style="width:162pt;height:156pt" o:ole="">
                  <v:imagedata r:id="rId15" o:title=""/>
                </v:shape>
                <o:OLEObject Type="Embed" ProgID="PBrush" ShapeID="_x0000_i1026" DrawAspect="Content" ObjectID="_1625225137" r:id="rId16"/>
              </w:object>
            </w:r>
          </w:p>
        </w:tc>
      </w:tr>
    </w:tbl>
    <w:p w14:paraId="763F60DF" w14:textId="77777777" w:rsidR="001232AA" w:rsidRPr="00A22771" w:rsidRDefault="001232AA" w:rsidP="000450FE">
      <w:pPr>
        <w:rPr>
          <w:rFonts w:asciiTheme="minorHAnsi" w:hAnsiTheme="minorHAnsi"/>
        </w:rPr>
      </w:pPr>
    </w:p>
    <w:sectPr w:rsidR="001232AA" w:rsidRPr="00A22771" w:rsidSect="00D65057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151" w:right="1041" w:bottom="1090" w:left="1134" w:header="708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7A471" w14:textId="77777777" w:rsidR="00023BBE" w:rsidRDefault="00023BBE" w:rsidP="004B034E">
      <w:pPr>
        <w:spacing w:after="0" w:line="240" w:lineRule="auto"/>
      </w:pPr>
      <w:r>
        <w:separator/>
      </w:r>
    </w:p>
  </w:endnote>
  <w:endnote w:type="continuationSeparator" w:id="0">
    <w:p w14:paraId="1152DCA9" w14:textId="77777777" w:rsidR="00023BBE" w:rsidRDefault="00023BBE" w:rsidP="004B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uhaus 93">
    <w:altName w:val="Arial Black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18591" w14:textId="77777777"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ADD79" w14:textId="77777777"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7EC77" w14:textId="77777777" w:rsidR="00023BBE" w:rsidRDefault="00023BBE" w:rsidP="004B034E">
      <w:pPr>
        <w:spacing w:after="0" w:line="240" w:lineRule="auto"/>
      </w:pPr>
      <w:r>
        <w:separator/>
      </w:r>
    </w:p>
  </w:footnote>
  <w:footnote w:type="continuationSeparator" w:id="0">
    <w:p w14:paraId="6274C9B1" w14:textId="77777777" w:rsidR="00023BBE" w:rsidRDefault="00023BBE" w:rsidP="004B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D675E" w14:textId="77777777" w:rsidR="004B034E" w:rsidRPr="00687A91" w:rsidRDefault="00023BBE" w:rsidP="00B445E6">
    <w:pPr>
      <w:pStyle w:val="Encabezado"/>
      <w:ind w:left="284"/>
    </w:pPr>
    <w:r>
      <w:rPr>
        <w:noProof/>
      </w:rPr>
      <w:pict w14:anchorId="601917CD">
        <v:rect id="_x0000_s2054" alt="" style="position:absolute;left:0;text-align:left;margin-left:563.3pt;margin-top:-657.95pt;width:40.05pt;height:1284.6pt;rotation:90;z-index:-251656704;visibility:visible;mso-wrap-edited:f;mso-width-relative:margin;mso-height-relative:margin;v-text-anchor:middle" fillcolor="#d557af" stroked="f"/>
      </w:pict>
    </w:r>
    <w:r>
      <w:rPr>
        <w:noProof/>
      </w:rPr>
      <w:pict w14:anchorId="3DB2F5EE">
        <v:shapetype id="_x0000_t202" coordsize="21600,21600" o:spt="202" path="m,l,21600r21600,l21600,xe">
          <v:stroke joinstyle="miter"/>
          <v:path gradientshapeok="t" o:connecttype="rect"/>
        </v:shapetype>
        <v:shape id="Text Box 18" o:spid="_x0000_s2056" type="#_x0000_t202" alt="" style="position:absolute;left:0;text-align:left;margin-left:517.2pt;margin-top:125.1pt;width:33pt;height:549.15pt;z-index:251656704;visibility:visible;mso-wrap-edited:f;mso-width-relative:margin;mso-height-relative:margin" filled="f" stroked="f">
          <v:textbox style="layout-flow:vertical">
            <w:txbxContent>
              <w:p w14:paraId="35DA8C5B" w14:textId="77777777" w:rsidR="00CA630E" w:rsidRPr="00833651" w:rsidRDefault="00CA630E" w:rsidP="00A22771">
                <w:pPr>
                  <w:jc w:val="center"/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</w:pP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 xml:space="preserve">Matemáticas  </w:t>
                </w:r>
                <w:r w:rsidR="00A2277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>7</w:t>
                </w: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>º Básico</w:t>
                </w: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ab/>
                </w: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ab/>
                </w:r>
                <w:r w:rsidRPr="00833651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Unidad 1 – OA</w:t>
                </w:r>
                <w:r w:rsidR="00A22771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4</w:t>
                </w:r>
                <w:r w:rsidRPr="00833651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– Actividad 1</w:t>
                </w:r>
              </w:p>
            </w:txbxContent>
          </v:textbox>
        </v:shape>
      </w:pict>
    </w:r>
    <w:r>
      <w:rPr>
        <w:noProof/>
      </w:rPr>
      <w:pict w14:anchorId="159178DD">
        <v:shape id="Text Box 19" o:spid="_x0000_s2057" type="#_x0000_t202" alt="" style="position:absolute;left:0;text-align:left;margin-left:516pt;margin-top:-16.2pt;width:33pt;height:34.35pt;z-index:251657728;visibility:visible;mso-wrap-edited:f;mso-width-relative:margin;mso-height-relative:margin" filled="f" stroked="f">
          <v:textbox style="layout-flow:vertical">
            <w:txbxContent>
              <w:p w14:paraId="77F0C3CF" w14:textId="77777777" w:rsidR="00B445E6" w:rsidRPr="00833651" w:rsidRDefault="006431E7" w:rsidP="00B445E6">
                <w:pPr>
                  <w:pStyle w:val="Piedepgina"/>
                  <w:rPr>
                    <w:rStyle w:val="Nmerodepgina"/>
                    <w:rFonts w:ascii="Arial" w:hAnsi="Arial" w:cs="Arial"/>
                    <w:b/>
                    <w:color w:val="FFFFFF"/>
                  </w:rPr>
                </w:pP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begin"/>
                </w:r>
                <w:r w:rsidR="00B445E6"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instrText xml:space="preserve"> PAGE </w:instrText>
                </w: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separate"/>
                </w:r>
                <w:r w:rsidR="00775B21">
                  <w:rPr>
                    <w:rStyle w:val="Nmerodepgina"/>
                    <w:rFonts w:ascii="Arial" w:hAnsi="Arial" w:cs="Arial"/>
                    <w:b/>
                    <w:noProof/>
                    <w:color w:val="FFFFFF"/>
                  </w:rPr>
                  <w:t>2</w:t>
                </w: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end"/>
                </w:r>
              </w:p>
              <w:p w14:paraId="6A94E1A5" w14:textId="77777777" w:rsidR="00B445E6" w:rsidRPr="00833651" w:rsidRDefault="00B445E6" w:rsidP="00B445E6">
                <w:pPr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 w14:anchorId="08D6821E">
        <v:rect id="Rectángulo 9" o:spid="_x0000_s2055" alt="" style="position:absolute;left:0;text-align:left;margin-left:511.55pt;margin-top:-35.7pt;width:42.5pt;height:793.7pt;z-index:-251654656;visibility:visible;mso-wrap-edited:f;mso-width-relative:margin;mso-height-relative:margin;v-text-anchor:middle" fillcolor="#d557af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A334B" w14:textId="77777777" w:rsidR="00687A91" w:rsidRPr="000A38A6" w:rsidRDefault="00023BBE" w:rsidP="00687A91">
    <w:pPr>
      <w:pStyle w:val="Encabezado"/>
      <w:ind w:left="142"/>
      <w:rPr>
        <w:rFonts w:ascii="Arial" w:hAnsi="Arial" w:cs="Arial"/>
        <w:color w:val="D557AF"/>
        <w:sz w:val="56"/>
        <w:szCs w:val="56"/>
      </w:rPr>
    </w:pPr>
    <w:r>
      <w:rPr>
        <w:noProof/>
      </w:rPr>
      <w:pict w14:anchorId="284A657C">
        <v:rect id="Rectángulo 3" o:spid="_x0000_s2052" alt="" style="position:absolute;left:0;text-align:left;margin-left:511.6pt;margin-top:-35.4pt;width:42.5pt;height:793.7pt;z-index:-251655680;visibility:visible;mso-wrap-edited:f;mso-width-relative:margin;mso-height-relative:margin;v-text-anchor:middle" fillcolor="#d557af" stroked="f"/>
      </w:pict>
    </w:r>
    <w:r>
      <w:rPr>
        <w:noProof/>
      </w:rPr>
      <w:pict w14:anchorId="4923FC72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1" type="#_x0000_t202" alt="" style="position:absolute;left:0;text-align:left;margin-left:353.55pt;margin-top:-7.6pt;width:159.5pt;height:108pt;z-index:251654656;visibility:visible;mso-wrap-edited:f;mso-width-relative:margin;mso-height-relative:margin" filled="f" stroked="f">
          <v:textbox>
            <w:txbxContent>
              <w:p w14:paraId="068A78F7" w14:textId="77777777" w:rsidR="00687A91" w:rsidRPr="00176A66" w:rsidRDefault="00687A91" w:rsidP="00687A91">
                <w:pPr>
                  <w:shd w:val="clear" w:color="auto" w:fill="FFFFFF"/>
                  <w:spacing w:before="150" w:after="300" w:line="168" w:lineRule="auto"/>
                  <w:jc w:val="right"/>
                  <w:outlineLvl w:val="0"/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</w:pPr>
                <w:r w:rsidRPr="00176A66"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  <w:t xml:space="preserve">Unidad 1 </w:t>
                </w:r>
              </w:p>
              <w:p w14:paraId="094F59B3" w14:textId="77777777" w:rsidR="00687A91" w:rsidRPr="000A38A6" w:rsidRDefault="00687A91" w:rsidP="00687A91">
                <w:pPr>
                  <w:shd w:val="clear" w:color="auto" w:fill="FFFFFF"/>
                  <w:spacing w:before="200" w:after="300" w:line="240" w:lineRule="auto"/>
                  <w:jc w:val="right"/>
                  <w:outlineLvl w:val="0"/>
                  <w:rPr>
                    <w:rFonts w:ascii="Arial" w:hAnsi="Arial" w:cs="Arial"/>
                    <w:color w:val="D557AF"/>
                    <w:kern w:val="36"/>
                    <w:sz w:val="46"/>
                    <w:szCs w:val="46"/>
                    <w:lang w:val="es-ES_tradnl"/>
                  </w:rPr>
                </w:pPr>
                <w:r w:rsidRPr="000A38A6"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  <w:t>OA</w:t>
                </w:r>
                <w:r w:rsidR="001D6318"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  <w:t>4</w:t>
                </w:r>
              </w:p>
              <w:p w14:paraId="4430E3D2" w14:textId="77777777" w:rsidR="00687A91" w:rsidRPr="00176A66" w:rsidRDefault="00687A91" w:rsidP="00687A91">
                <w:pPr>
                  <w:shd w:val="clear" w:color="auto" w:fill="FFFFFF"/>
                  <w:spacing w:before="150" w:after="300" w:line="168" w:lineRule="auto"/>
                  <w:jc w:val="right"/>
                  <w:outlineLvl w:val="0"/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</w:pPr>
                <w:r w:rsidRPr="00176A66"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  <w:t>Actividad 1</w:t>
                </w:r>
              </w:p>
              <w:p w14:paraId="22A0C72F" w14:textId="77777777" w:rsidR="00687A91" w:rsidRDefault="00687A91" w:rsidP="00687A91"/>
            </w:txbxContent>
          </v:textbox>
        </v:shape>
      </w:pict>
    </w:r>
    <w:r>
      <w:rPr>
        <w:noProof/>
      </w:rPr>
      <w:pict w14:anchorId="04987650">
        <v:line id="Straight Connector 17" o:spid="_x0000_s2050" alt="" style="position:absolute;left:0;text-align:left;z-index:251655680;visibility:visible;mso-wrap-edited:f;mso-wrap-distance-top:-19e-5mm;mso-wrap-distance-bottom:-19e-5mm;mso-width-relative:margin" from="412.5pt,30.25pt" to="506pt,30.25pt" strokecolor="#d557af" strokeweight="2pt">
          <o:lock v:ext="edit" shapetype="f"/>
        </v:line>
      </w:pict>
    </w:r>
    <w:r>
      <w:rPr>
        <w:noProof/>
      </w:rPr>
      <w:pict w14:anchorId="67FF86D2">
        <v:oval id="Oval 6" o:spid="_x0000_s2049" alt="" style="position:absolute;left:0;text-align:left;margin-left:-17.55pt;margin-top:8.9pt;width:13.3pt;height:13.3pt;z-index:251653632;visibility:visible;mso-wrap-edited:f;mso-width-relative:margin;mso-height-relative:margin;v-text-anchor:middle" fillcolor="#d557af" stroked="f"/>
      </w:pict>
    </w:r>
    <w:r w:rsidR="00687A91">
      <w:rPr>
        <w:rFonts w:ascii="Arial" w:hAnsi="Arial" w:cs="Arial"/>
        <w:b/>
        <w:color w:val="D557AF"/>
        <w:sz w:val="56"/>
        <w:szCs w:val="56"/>
      </w:rPr>
      <w:t>Matemáticas</w:t>
    </w:r>
  </w:p>
  <w:p w14:paraId="0BCE7ED8" w14:textId="77777777" w:rsidR="00687A91" w:rsidRPr="00833651" w:rsidRDefault="00687A91" w:rsidP="00687A91">
    <w:pPr>
      <w:pStyle w:val="Encabezado"/>
      <w:rPr>
        <w:rFonts w:ascii="Arial" w:hAnsi="Arial" w:cs="Arial"/>
        <w:b/>
        <w:color w:val="595959"/>
        <w:sz w:val="44"/>
        <w:szCs w:val="44"/>
      </w:rPr>
    </w:pPr>
    <w:r w:rsidRPr="00833651">
      <w:rPr>
        <w:rFonts w:ascii="Arial" w:hAnsi="Arial" w:cs="Arial"/>
        <w:b/>
        <w:color w:val="595959"/>
        <w:sz w:val="44"/>
        <w:szCs w:val="44"/>
      </w:rPr>
      <w:t>7º Básico</w:t>
    </w:r>
  </w:p>
  <w:p w14:paraId="0BE4D999" w14:textId="77777777" w:rsidR="004B034E" w:rsidRPr="00687A91" w:rsidRDefault="004B034E" w:rsidP="00687A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D7A93"/>
    <w:multiLevelType w:val="hybridMultilevel"/>
    <w:tmpl w:val="73E46A00"/>
    <w:lvl w:ilvl="0" w:tplc="939EC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076CF"/>
    <w:multiLevelType w:val="hybridMultilevel"/>
    <w:tmpl w:val="53E853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B31D1"/>
    <w:multiLevelType w:val="hybridMultilevel"/>
    <w:tmpl w:val="C3EEF9B4"/>
    <w:lvl w:ilvl="0" w:tplc="7FEA93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D558A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93B27"/>
    <w:multiLevelType w:val="hybridMultilevel"/>
    <w:tmpl w:val="645EED90"/>
    <w:lvl w:ilvl="0" w:tplc="9418C4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D558A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5C6"/>
    <w:rsid w:val="00003D1F"/>
    <w:rsid w:val="00007ED8"/>
    <w:rsid w:val="00023BBE"/>
    <w:rsid w:val="000450FE"/>
    <w:rsid w:val="000868A2"/>
    <w:rsid w:val="00096256"/>
    <w:rsid w:val="00117E95"/>
    <w:rsid w:val="001232AA"/>
    <w:rsid w:val="001629CE"/>
    <w:rsid w:val="00182E53"/>
    <w:rsid w:val="001873B6"/>
    <w:rsid w:val="0018797D"/>
    <w:rsid w:val="001A2D3E"/>
    <w:rsid w:val="001A7FED"/>
    <w:rsid w:val="001D6318"/>
    <w:rsid w:val="001E65A4"/>
    <w:rsid w:val="0022461A"/>
    <w:rsid w:val="00263B07"/>
    <w:rsid w:val="0029631B"/>
    <w:rsid w:val="002B5457"/>
    <w:rsid w:val="003409A4"/>
    <w:rsid w:val="003E151A"/>
    <w:rsid w:val="004B034E"/>
    <w:rsid w:val="005261F8"/>
    <w:rsid w:val="005774CB"/>
    <w:rsid w:val="00594076"/>
    <w:rsid w:val="005F1101"/>
    <w:rsid w:val="00606544"/>
    <w:rsid w:val="006431E7"/>
    <w:rsid w:val="00687A91"/>
    <w:rsid w:val="006923FB"/>
    <w:rsid w:val="00712EC9"/>
    <w:rsid w:val="00717231"/>
    <w:rsid w:val="00775B21"/>
    <w:rsid w:val="007E6874"/>
    <w:rsid w:val="008319FE"/>
    <w:rsid w:val="00891417"/>
    <w:rsid w:val="008C251A"/>
    <w:rsid w:val="00956A81"/>
    <w:rsid w:val="00997326"/>
    <w:rsid w:val="009C478D"/>
    <w:rsid w:val="00A02CAA"/>
    <w:rsid w:val="00A22771"/>
    <w:rsid w:val="00AA3CF9"/>
    <w:rsid w:val="00B0605D"/>
    <w:rsid w:val="00B14731"/>
    <w:rsid w:val="00B445E6"/>
    <w:rsid w:val="00B545C6"/>
    <w:rsid w:val="00B60ECE"/>
    <w:rsid w:val="00B63F1A"/>
    <w:rsid w:val="00B802ED"/>
    <w:rsid w:val="00BC47A8"/>
    <w:rsid w:val="00BF7E0D"/>
    <w:rsid w:val="00C407E9"/>
    <w:rsid w:val="00C73EF2"/>
    <w:rsid w:val="00CA630E"/>
    <w:rsid w:val="00CF2CB2"/>
    <w:rsid w:val="00D05226"/>
    <w:rsid w:val="00D505B0"/>
    <w:rsid w:val="00D65057"/>
    <w:rsid w:val="00D66432"/>
    <w:rsid w:val="00DA1E76"/>
    <w:rsid w:val="00DA370C"/>
    <w:rsid w:val="00DB289A"/>
    <w:rsid w:val="00DC1D87"/>
    <w:rsid w:val="00E378E6"/>
    <w:rsid w:val="00E91EAD"/>
    <w:rsid w:val="00EA1EF7"/>
    <w:rsid w:val="00EB0D40"/>
    <w:rsid w:val="00EB4BD6"/>
    <w:rsid w:val="00ED5676"/>
    <w:rsid w:val="00F539E2"/>
    <w:rsid w:val="00F90984"/>
    <w:rsid w:val="00FE3B7D"/>
    <w:rsid w:val="00FF6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  <o:rules v:ext="edit">
        <o:r id="V:Rule1" type="connector" idref="#AutoShape 113"/>
      </o:rules>
    </o:shapelayout>
  </w:shapeDefaults>
  <w:decimalSymbol w:val=","/>
  <w:listSeparator w:val=";"/>
  <w14:docId w14:val="36CEEA0C"/>
  <w15:docId w15:val="{5F49B422-EBB6-4052-B594-6D18E4F9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E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034E"/>
  </w:style>
  <w:style w:type="paragraph" w:styleId="Piedepgina">
    <w:name w:val="footer"/>
    <w:basedOn w:val="Normal"/>
    <w:link w:val="Piedepgina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34E"/>
  </w:style>
  <w:style w:type="character" w:styleId="Nmerodepgina">
    <w:name w:val="page number"/>
    <w:uiPriority w:val="99"/>
    <w:semiHidden/>
    <w:unhideWhenUsed/>
    <w:rsid w:val="00CA630E"/>
    <w:rPr>
      <w:rFonts w:cs="Times New Roman"/>
    </w:rPr>
  </w:style>
  <w:style w:type="paragraph" w:styleId="Prrafodelista">
    <w:name w:val="List Paragraph"/>
    <w:basedOn w:val="Normal"/>
    <w:uiPriority w:val="34"/>
    <w:qFormat/>
    <w:rsid w:val="00B445E6"/>
    <w:pPr>
      <w:ind w:left="720"/>
      <w:contextualSpacing/>
    </w:pPr>
  </w:style>
  <w:style w:type="table" w:styleId="Tablaconcuadrcula">
    <w:name w:val="Table Grid"/>
    <w:basedOn w:val="Tablanormal"/>
    <w:uiPriority w:val="59"/>
    <w:rsid w:val="00182E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82E53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E53"/>
    <w:rPr>
      <w:rFonts w:ascii="Times New Roman" w:eastAsia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tiff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 Baeza Rojas</dc:creator>
  <cp:lastModifiedBy>Fidel Oteiza Morra</cp:lastModifiedBy>
  <cp:revision>3</cp:revision>
  <dcterms:created xsi:type="dcterms:W3CDTF">2019-07-21T02:06:00Z</dcterms:created>
  <dcterms:modified xsi:type="dcterms:W3CDTF">2019-07-21T18:39:00Z</dcterms:modified>
</cp:coreProperties>
</file>